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45B" w:rsidRDefault="00D4045B" w:rsidP="0094175A">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9288"/>
      </w:tblGrid>
      <w:tr w:rsidR="00D4045B" w:rsidRPr="002D6983" w:rsidTr="00B850A5">
        <w:trPr>
          <w:trHeight w:val="844"/>
        </w:trPr>
        <w:tc>
          <w:tcPr>
            <w:tcW w:w="9540" w:type="dxa"/>
          </w:tcPr>
          <w:p w:rsidR="00D4045B" w:rsidRPr="00A9398D" w:rsidRDefault="00D4045B" w:rsidP="00B850A5">
            <w:pPr>
              <w:rPr>
                <w:rFonts w:ascii="Verdana" w:hAnsi="Verdana"/>
                <w:b/>
                <w:bCs/>
                <w:sz w:val="20"/>
                <w:szCs w:val="20"/>
                <w:lang w:val="en-GB"/>
              </w:rPr>
            </w:pPr>
            <w:r w:rsidRPr="00A9398D">
              <w:rPr>
                <w:rFonts w:ascii="Verdana" w:hAnsi="Verdana"/>
                <w:b/>
                <w:bCs/>
                <w:sz w:val="20"/>
                <w:szCs w:val="20"/>
                <w:lang w:val="en-GB"/>
              </w:rPr>
              <w:t xml:space="preserve">Name of the working group </w:t>
            </w:r>
          </w:p>
          <w:p w:rsidR="00D4045B" w:rsidRPr="00A9398D" w:rsidRDefault="00D4045B" w:rsidP="00B850A5">
            <w:pPr>
              <w:rPr>
                <w:rFonts w:ascii="Verdana" w:hAnsi="Verdana"/>
                <w:b/>
                <w:bCs/>
                <w:sz w:val="20"/>
                <w:szCs w:val="20"/>
                <w:lang w:val="en-GB"/>
              </w:rPr>
            </w:pPr>
            <w:r w:rsidRPr="00A9398D">
              <w:rPr>
                <w:rFonts w:ascii="Verdana" w:hAnsi="Verdana"/>
                <w:b/>
                <w:bCs/>
                <w:sz w:val="20"/>
                <w:szCs w:val="20"/>
                <w:lang w:val="en-GB"/>
              </w:rPr>
              <w:t>Working Group on Mobility</w:t>
            </w:r>
          </w:p>
        </w:tc>
      </w:tr>
      <w:tr w:rsidR="00D4045B" w:rsidRPr="002D6983" w:rsidTr="00B850A5">
        <w:trPr>
          <w:trHeight w:val="844"/>
        </w:trPr>
        <w:tc>
          <w:tcPr>
            <w:tcW w:w="9540" w:type="dxa"/>
          </w:tcPr>
          <w:p w:rsidR="00D4045B" w:rsidRPr="00A9398D" w:rsidRDefault="00D4045B" w:rsidP="00B850A5">
            <w:pPr>
              <w:rPr>
                <w:rFonts w:ascii="Verdana" w:hAnsi="Verdana"/>
                <w:b/>
                <w:bCs/>
                <w:sz w:val="20"/>
                <w:szCs w:val="20"/>
                <w:lang w:val="en-GB"/>
              </w:rPr>
            </w:pPr>
            <w:r w:rsidRPr="00A9398D">
              <w:rPr>
                <w:rFonts w:ascii="Verdana" w:hAnsi="Verdana"/>
                <w:b/>
                <w:bCs/>
                <w:sz w:val="20"/>
                <w:szCs w:val="20"/>
                <w:lang w:val="en-GB"/>
              </w:rPr>
              <w:t>Contact person (Chair)</w:t>
            </w:r>
          </w:p>
          <w:p w:rsidR="00D4045B" w:rsidRPr="0094175A" w:rsidRDefault="00D4045B" w:rsidP="00B850A5">
            <w:pPr>
              <w:rPr>
                <w:rFonts w:ascii="Verdana" w:hAnsi="Verdana"/>
                <w:bCs/>
                <w:sz w:val="20"/>
                <w:szCs w:val="20"/>
                <w:lang w:val="en-US"/>
              </w:rPr>
            </w:pPr>
            <w:r w:rsidRPr="0094175A">
              <w:rPr>
                <w:rFonts w:ascii="Verdana" w:hAnsi="Verdana"/>
                <w:bCs/>
                <w:sz w:val="20"/>
                <w:szCs w:val="20"/>
                <w:lang w:val="en-US"/>
              </w:rPr>
              <w:t xml:space="preserve">Peter GREISLER – </w:t>
            </w:r>
            <w:smartTag w:uri="urn:schemas-microsoft-com:office:smarttags" w:element="place">
              <w:smartTag w:uri="urn:schemas-microsoft-com:office:smarttags" w:element="country-region">
                <w:r w:rsidRPr="0094175A">
                  <w:rPr>
                    <w:rFonts w:ascii="Verdana" w:hAnsi="Verdana"/>
                    <w:bCs/>
                    <w:sz w:val="20"/>
                    <w:szCs w:val="20"/>
                    <w:lang w:val="en-US"/>
                  </w:rPr>
                  <w:t>Germany</w:t>
                </w:r>
              </w:smartTag>
            </w:smartTag>
            <w:r w:rsidRPr="0094175A">
              <w:rPr>
                <w:rFonts w:ascii="Verdana" w:hAnsi="Verdana"/>
                <w:bCs/>
                <w:sz w:val="20"/>
                <w:szCs w:val="20"/>
                <w:lang w:val="en-US"/>
              </w:rPr>
              <w:t xml:space="preserve"> (</w:t>
            </w:r>
            <w:hyperlink r:id="rId5" w:history="1">
              <w:r w:rsidRPr="0094175A">
                <w:rPr>
                  <w:rStyle w:val="Hyperlink"/>
                  <w:rFonts w:ascii="Verdana" w:hAnsi="Verdana"/>
                  <w:bCs/>
                  <w:sz w:val="20"/>
                  <w:szCs w:val="20"/>
                  <w:lang w:val="en-US"/>
                </w:rPr>
                <w:t>peter.greisler@bmbf.bund.de</w:t>
              </w:r>
            </w:hyperlink>
            <w:r w:rsidRPr="0094175A">
              <w:rPr>
                <w:rFonts w:ascii="Verdana" w:hAnsi="Verdana"/>
                <w:bCs/>
                <w:sz w:val="20"/>
                <w:szCs w:val="20"/>
                <w:lang w:val="en-US"/>
              </w:rPr>
              <w:t xml:space="preserve">) </w:t>
            </w:r>
          </w:p>
          <w:p w:rsidR="00D4045B" w:rsidRPr="0094175A" w:rsidRDefault="00D4045B" w:rsidP="00B850A5">
            <w:pPr>
              <w:rPr>
                <w:rFonts w:ascii="Verdana" w:hAnsi="Verdana"/>
                <w:b/>
                <w:bCs/>
                <w:sz w:val="20"/>
                <w:szCs w:val="20"/>
                <w:lang w:val="en-US"/>
              </w:rPr>
            </w:pPr>
          </w:p>
        </w:tc>
      </w:tr>
      <w:tr w:rsidR="00D4045B" w:rsidRPr="002D6983" w:rsidTr="00B850A5">
        <w:trPr>
          <w:trHeight w:val="1084"/>
        </w:trPr>
        <w:tc>
          <w:tcPr>
            <w:tcW w:w="9540" w:type="dxa"/>
          </w:tcPr>
          <w:p w:rsidR="00D4045B" w:rsidRPr="00A9398D" w:rsidRDefault="00D4045B" w:rsidP="00B850A5">
            <w:pPr>
              <w:rPr>
                <w:rFonts w:ascii="Verdana" w:hAnsi="Verdana"/>
                <w:b/>
                <w:bCs/>
                <w:sz w:val="20"/>
                <w:szCs w:val="20"/>
                <w:lang w:val="en-GB"/>
              </w:rPr>
            </w:pPr>
            <w:r w:rsidRPr="00A9398D">
              <w:rPr>
                <w:rFonts w:ascii="Verdana" w:hAnsi="Verdana"/>
                <w:b/>
                <w:bCs/>
                <w:sz w:val="20"/>
                <w:szCs w:val="20"/>
                <w:lang w:val="en-GB"/>
              </w:rPr>
              <w:t xml:space="preserve">Composition </w:t>
            </w:r>
          </w:p>
          <w:p w:rsidR="00D4045B" w:rsidRPr="00A9398D" w:rsidRDefault="00D4045B" w:rsidP="00B850A5">
            <w:pPr>
              <w:rPr>
                <w:rFonts w:ascii="Verdana" w:hAnsi="Verdana"/>
                <w:sz w:val="20"/>
                <w:szCs w:val="20"/>
                <w:lang w:val="en-GB"/>
              </w:rPr>
            </w:pPr>
            <w:r w:rsidRPr="00A9398D">
              <w:rPr>
                <w:rFonts w:ascii="Verdana" w:hAnsi="Verdana"/>
                <w:sz w:val="20"/>
                <w:szCs w:val="20"/>
                <w:lang w:val="en-GB"/>
              </w:rPr>
              <w:t xml:space="preserve">The group will be made up of a wide range of countries and should be balanced with regard to EU- and Non-EU </w:t>
            </w:r>
            <w:smartTag w:uri="urn:schemas-microsoft-com:office:smarttags" w:element="City">
              <w:smartTag w:uri="urn:schemas-microsoft-com:office:smarttags" w:element="place">
                <w:r w:rsidRPr="00A9398D">
                  <w:rPr>
                    <w:rFonts w:ascii="Verdana" w:hAnsi="Verdana"/>
                    <w:sz w:val="20"/>
                    <w:szCs w:val="20"/>
                    <w:lang w:val="en-GB"/>
                  </w:rPr>
                  <w:t>Bologna</w:t>
                </w:r>
              </w:smartTag>
            </w:smartTag>
            <w:r w:rsidRPr="00A9398D">
              <w:rPr>
                <w:rFonts w:ascii="Verdana" w:hAnsi="Verdana"/>
                <w:sz w:val="20"/>
                <w:szCs w:val="20"/>
                <w:lang w:val="en-GB"/>
              </w:rPr>
              <w:t xml:space="preserve"> countries, geography and size. The group should include members of the 2007-2009 working group as well as new members.</w:t>
            </w:r>
          </w:p>
          <w:p w:rsidR="00D4045B" w:rsidRPr="00A9398D" w:rsidRDefault="00D4045B" w:rsidP="00B850A5">
            <w:pPr>
              <w:rPr>
                <w:rFonts w:ascii="Verdana" w:hAnsi="Verdana"/>
                <w:sz w:val="20"/>
                <w:szCs w:val="20"/>
                <w:lang w:val="en-GB"/>
              </w:rPr>
            </w:pPr>
          </w:p>
          <w:p w:rsidR="00D4045B" w:rsidRPr="00A9398D" w:rsidRDefault="00D4045B" w:rsidP="00B850A5">
            <w:pPr>
              <w:rPr>
                <w:rFonts w:ascii="Verdana" w:hAnsi="Verdana"/>
                <w:sz w:val="20"/>
                <w:szCs w:val="20"/>
                <w:lang w:val="en-GB"/>
              </w:rPr>
            </w:pPr>
            <w:r>
              <w:rPr>
                <w:rFonts w:ascii="Verdana" w:hAnsi="Verdana"/>
                <w:sz w:val="20"/>
                <w:szCs w:val="20"/>
                <w:lang w:val="en-GB"/>
              </w:rPr>
              <w:t xml:space="preserve">Andorra, </w:t>
            </w:r>
            <w:r w:rsidRPr="00A9398D">
              <w:rPr>
                <w:rFonts w:ascii="Verdana" w:hAnsi="Verdana"/>
                <w:sz w:val="20"/>
                <w:szCs w:val="20"/>
                <w:lang w:val="en-GB"/>
              </w:rPr>
              <w:t xml:space="preserve">Armenia, Austria, Belgium/Flemish Community, Belgium/French Community, </w:t>
            </w:r>
            <w:r>
              <w:rPr>
                <w:rFonts w:ascii="Verdana" w:hAnsi="Verdana"/>
                <w:sz w:val="20"/>
                <w:szCs w:val="20"/>
                <w:lang w:val="en-GB"/>
              </w:rPr>
              <w:t xml:space="preserve">Cyprus, </w:t>
            </w:r>
            <w:r w:rsidRPr="00A9398D">
              <w:rPr>
                <w:rFonts w:ascii="Verdana" w:hAnsi="Verdana"/>
                <w:sz w:val="20"/>
                <w:szCs w:val="20"/>
                <w:lang w:val="en-GB"/>
              </w:rPr>
              <w:t xml:space="preserve">Finland, </w:t>
            </w:r>
            <w:r>
              <w:rPr>
                <w:rFonts w:ascii="Verdana" w:hAnsi="Verdana"/>
                <w:sz w:val="20"/>
                <w:szCs w:val="20"/>
                <w:lang w:val="en-GB"/>
              </w:rPr>
              <w:t xml:space="preserve">France, </w:t>
            </w:r>
            <w:r w:rsidRPr="00A9398D">
              <w:rPr>
                <w:rFonts w:ascii="Verdana" w:hAnsi="Verdana"/>
                <w:sz w:val="20"/>
                <w:szCs w:val="20"/>
                <w:lang w:val="en-GB"/>
              </w:rPr>
              <w:t>Georgia, Hungary</w:t>
            </w:r>
            <w:r>
              <w:rPr>
                <w:rFonts w:ascii="Verdana" w:hAnsi="Verdana"/>
                <w:sz w:val="20"/>
                <w:szCs w:val="20"/>
                <w:lang w:val="en-GB"/>
              </w:rPr>
              <w:t xml:space="preserve">, Ireland, Italy, Republic of Macedonia, the </w:t>
            </w:r>
            <w:r w:rsidRPr="00A9398D">
              <w:rPr>
                <w:rFonts w:ascii="Verdana" w:hAnsi="Verdana"/>
                <w:sz w:val="20"/>
                <w:szCs w:val="20"/>
                <w:lang w:val="en-GB"/>
              </w:rPr>
              <w:t xml:space="preserve">Netherlands, </w:t>
            </w:r>
            <w:r>
              <w:rPr>
                <w:rFonts w:ascii="Verdana" w:hAnsi="Verdana"/>
                <w:sz w:val="20"/>
                <w:szCs w:val="20"/>
                <w:lang w:val="en-GB"/>
              </w:rPr>
              <w:t xml:space="preserve">Russia, </w:t>
            </w:r>
            <w:r w:rsidRPr="00A9398D">
              <w:rPr>
                <w:rFonts w:ascii="Verdana" w:hAnsi="Verdana"/>
                <w:sz w:val="20"/>
                <w:szCs w:val="20"/>
                <w:lang w:val="en-GB"/>
              </w:rPr>
              <w:t xml:space="preserve">Serbia, </w:t>
            </w:r>
            <w:r>
              <w:rPr>
                <w:rFonts w:ascii="Verdana" w:hAnsi="Verdana"/>
                <w:sz w:val="20"/>
                <w:szCs w:val="20"/>
                <w:lang w:val="en-GB"/>
              </w:rPr>
              <w:t xml:space="preserve">Spain, UK/Scotland, European Commission, </w:t>
            </w:r>
            <w:r w:rsidRPr="002E5B7C">
              <w:rPr>
                <w:rFonts w:ascii="Verdana" w:hAnsi="Verdana"/>
                <w:sz w:val="20"/>
                <w:szCs w:val="20"/>
                <w:lang w:val="en-GB"/>
              </w:rPr>
              <w:t xml:space="preserve">BUSINESSEUROPE, </w:t>
            </w:r>
            <w:r w:rsidRPr="00A9398D">
              <w:rPr>
                <w:rFonts w:ascii="Verdana" w:hAnsi="Verdana"/>
                <w:sz w:val="20"/>
                <w:szCs w:val="20"/>
                <w:lang w:val="en-GB"/>
              </w:rPr>
              <w:t>EI, ESU, EUA</w:t>
            </w:r>
          </w:p>
          <w:p w:rsidR="00D4045B" w:rsidRPr="00A9398D" w:rsidRDefault="00D4045B" w:rsidP="00B850A5">
            <w:pPr>
              <w:rPr>
                <w:rFonts w:ascii="Verdana" w:hAnsi="Verdana"/>
                <w:sz w:val="20"/>
                <w:szCs w:val="20"/>
                <w:lang w:val="en-GB"/>
              </w:rPr>
            </w:pPr>
          </w:p>
        </w:tc>
      </w:tr>
      <w:tr w:rsidR="00D4045B" w:rsidRPr="002D6983" w:rsidTr="00B850A5">
        <w:trPr>
          <w:trHeight w:val="844"/>
        </w:trPr>
        <w:tc>
          <w:tcPr>
            <w:tcW w:w="9540" w:type="dxa"/>
          </w:tcPr>
          <w:p w:rsidR="00D4045B" w:rsidRPr="00A9398D" w:rsidRDefault="00D4045B" w:rsidP="00B850A5">
            <w:pPr>
              <w:rPr>
                <w:rFonts w:ascii="Verdana" w:hAnsi="Verdana"/>
                <w:b/>
                <w:bCs/>
                <w:sz w:val="20"/>
                <w:szCs w:val="20"/>
                <w:lang w:val="en-GB"/>
              </w:rPr>
            </w:pPr>
            <w:r w:rsidRPr="00A9398D">
              <w:rPr>
                <w:rFonts w:ascii="Verdana" w:hAnsi="Verdana"/>
                <w:b/>
                <w:bCs/>
                <w:sz w:val="20"/>
                <w:szCs w:val="20"/>
                <w:lang w:val="en-GB"/>
              </w:rPr>
              <w:t xml:space="preserve">Purpose and/or outcome </w:t>
            </w:r>
          </w:p>
          <w:p w:rsidR="00D4045B" w:rsidRPr="00A9398D" w:rsidRDefault="00D4045B" w:rsidP="0094175A">
            <w:pPr>
              <w:numPr>
                <w:ilvl w:val="0"/>
                <w:numId w:val="1"/>
              </w:numPr>
              <w:rPr>
                <w:rFonts w:ascii="Verdana" w:hAnsi="Verdana"/>
                <w:sz w:val="20"/>
                <w:szCs w:val="20"/>
                <w:lang w:val="en-GB"/>
              </w:rPr>
            </w:pPr>
            <w:r w:rsidRPr="00A9398D">
              <w:rPr>
                <w:rFonts w:ascii="Verdana" w:hAnsi="Verdana"/>
                <w:sz w:val="20"/>
                <w:szCs w:val="20"/>
                <w:lang w:val="en-GB"/>
              </w:rPr>
              <w:t xml:space="preserve">To contribute to the discussions in the working group “Reporting on the Implementation of the Bologna Process” on development of a precise definition of the benchmark </w:t>
            </w:r>
            <w:r>
              <w:rPr>
                <w:rFonts w:ascii="Verdana" w:hAnsi="Verdana"/>
                <w:sz w:val="20"/>
                <w:szCs w:val="20"/>
                <w:lang w:val="en-GB"/>
              </w:rPr>
              <w:t xml:space="preserve">mentioned </w:t>
            </w:r>
            <w:r w:rsidRPr="00A9398D">
              <w:rPr>
                <w:rFonts w:ascii="Verdana" w:hAnsi="Verdana"/>
                <w:sz w:val="20"/>
                <w:szCs w:val="20"/>
                <w:lang w:val="en-GB"/>
              </w:rPr>
              <w:t>in the Leuven</w:t>
            </w:r>
            <w:r>
              <w:rPr>
                <w:rFonts w:ascii="Verdana" w:hAnsi="Verdana"/>
                <w:sz w:val="20"/>
                <w:szCs w:val="20"/>
                <w:lang w:val="en-GB"/>
              </w:rPr>
              <w:t>/Louvain-la-Neuve C</w:t>
            </w:r>
            <w:r w:rsidRPr="00A9398D">
              <w:rPr>
                <w:rFonts w:ascii="Verdana" w:hAnsi="Verdana"/>
                <w:sz w:val="20"/>
                <w:szCs w:val="20"/>
                <w:lang w:val="en-GB"/>
              </w:rPr>
              <w:t>ommuniqué</w:t>
            </w:r>
          </w:p>
          <w:p w:rsidR="00D4045B" w:rsidRPr="00A9398D" w:rsidRDefault="00D4045B" w:rsidP="0094175A">
            <w:pPr>
              <w:numPr>
                <w:ilvl w:val="0"/>
                <w:numId w:val="1"/>
              </w:numPr>
              <w:rPr>
                <w:rFonts w:ascii="Verdana" w:hAnsi="Verdana"/>
                <w:sz w:val="20"/>
                <w:szCs w:val="20"/>
                <w:lang w:val="en-GB"/>
              </w:rPr>
            </w:pPr>
            <w:r w:rsidRPr="00A9398D">
              <w:rPr>
                <w:rFonts w:ascii="Verdana" w:hAnsi="Verdana"/>
                <w:sz w:val="20"/>
                <w:szCs w:val="20"/>
                <w:lang w:val="en-GB"/>
              </w:rPr>
              <w:t>To identify problems related to the balance of incoming and outgoing students and identify examples of good practice</w:t>
            </w:r>
          </w:p>
          <w:p w:rsidR="00D4045B" w:rsidRPr="00A9398D" w:rsidRDefault="00D4045B" w:rsidP="0094175A">
            <w:pPr>
              <w:numPr>
                <w:ilvl w:val="0"/>
                <w:numId w:val="1"/>
              </w:numPr>
              <w:rPr>
                <w:rFonts w:ascii="Verdana" w:hAnsi="Verdana"/>
                <w:sz w:val="20"/>
                <w:szCs w:val="20"/>
                <w:lang w:val="en-GB"/>
              </w:rPr>
            </w:pPr>
            <w:r w:rsidRPr="00A9398D">
              <w:rPr>
                <w:rFonts w:ascii="Verdana" w:hAnsi="Verdana"/>
                <w:sz w:val="20"/>
                <w:szCs w:val="20"/>
                <w:lang w:val="en-GB"/>
              </w:rPr>
              <w:t>To assess the structural, legal, financial and other obstacles to mobility of students and staff and to identify possibilities for action for Ministers and stakeholders in order to improve mobility</w:t>
            </w:r>
          </w:p>
          <w:p w:rsidR="00D4045B" w:rsidRPr="00A9398D" w:rsidRDefault="00D4045B" w:rsidP="0094175A">
            <w:pPr>
              <w:numPr>
                <w:ilvl w:val="0"/>
                <w:numId w:val="1"/>
              </w:numPr>
              <w:rPr>
                <w:rFonts w:ascii="Verdana" w:hAnsi="Verdana"/>
                <w:sz w:val="20"/>
                <w:szCs w:val="20"/>
                <w:lang w:val="en-GB"/>
              </w:rPr>
            </w:pPr>
            <w:r w:rsidRPr="00A9398D">
              <w:rPr>
                <w:rFonts w:ascii="Verdana" w:hAnsi="Verdana"/>
                <w:sz w:val="20"/>
                <w:szCs w:val="20"/>
                <w:lang w:val="en-GB"/>
              </w:rPr>
              <w:t>To draft an EHEA Strategy for mobility, for adoption by Ministers in 2012, based on the collection of good practice on mobility and with the purpose of stimulating further efforts in the area of mobility.</w:t>
            </w:r>
          </w:p>
          <w:p w:rsidR="00D4045B" w:rsidRPr="00A9398D" w:rsidRDefault="00D4045B" w:rsidP="00B850A5">
            <w:pPr>
              <w:rPr>
                <w:rFonts w:ascii="Verdana" w:hAnsi="Verdana"/>
                <w:sz w:val="20"/>
                <w:szCs w:val="20"/>
                <w:lang w:val="en-GB"/>
              </w:rPr>
            </w:pPr>
          </w:p>
        </w:tc>
      </w:tr>
      <w:tr w:rsidR="00D4045B" w:rsidRPr="00A9398D" w:rsidTr="00B850A5">
        <w:trPr>
          <w:trHeight w:val="844"/>
        </w:trPr>
        <w:tc>
          <w:tcPr>
            <w:tcW w:w="9540" w:type="dxa"/>
          </w:tcPr>
          <w:p w:rsidR="00D4045B" w:rsidRPr="00A9398D" w:rsidRDefault="00D4045B" w:rsidP="00B850A5">
            <w:pPr>
              <w:rPr>
                <w:rFonts w:ascii="Verdana" w:hAnsi="Verdana"/>
                <w:b/>
                <w:bCs/>
                <w:sz w:val="20"/>
                <w:szCs w:val="20"/>
                <w:lang w:val="fr-FR"/>
              </w:rPr>
            </w:pPr>
            <w:r w:rsidRPr="00A9398D">
              <w:rPr>
                <w:rFonts w:ascii="Verdana" w:hAnsi="Verdana"/>
                <w:b/>
                <w:bCs/>
                <w:sz w:val="20"/>
                <w:szCs w:val="20"/>
                <w:lang w:val="fr-FR"/>
              </w:rPr>
              <w:t xml:space="preserve">Reference to the Leuven/Louvain-la-Neuve Communiqué </w:t>
            </w:r>
          </w:p>
          <w:p w:rsidR="00D4045B" w:rsidRPr="00A9398D" w:rsidRDefault="00D4045B" w:rsidP="00B850A5">
            <w:pPr>
              <w:rPr>
                <w:rFonts w:ascii="Verdana" w:hAnsi="Verdana"/>
                <w:sz w:val="20"/>
                <w:szCs w:val="20"/>
                <w:lang w:val="en-GB"/>
              </w:rPr>
            </w:pPr>
            <w:r w:rsidRPr="00A9398D">
              <w:rPr>
                <w:rFonts w:ascii="Verdana" w:hAnsi="Verdana"/>
                <w:sz w:val="20"/>
                <w:szCs w:val="20"/>
                <w:lang w:val="fr-FR"/>
              </w:rPr>
              <w:t xml:space="preserve">Paragraphs 18-21, 26. </w:t>
            </w:r>
          </w:p>
        </w:tc>
      </w:tr>
      <w:tr w:rsidR="00D4045B" w:rsidRPr="002D6983" w:rsidTr="00B850A5">
        <w:trPr>
          <w:trHeight w:val="1374"/>
        </w:trPr>
        <w:tc>
          <w:tcPr>
            <w:tcW w:w="9540" w:type="dxa"/>
          </w:tcPr>
          <w:p w:rsidR="00D4045B" w:rsidRPr="00A9398D" w:rsidRDefault="00D4045B" w:rsidP="00B850A5">
            <w:pPr>
              <w:rPr>
                <w:rFonts w:ascii="Verdana" w:hAnsi="Verdana"/>
                <w:b/>
                <w:bCs/>
                <w:sz w:val="20"/>
                <w:szCs w:val="20"/>
                <w:lang w:val="en-GB"/>
              </w:rPr>
            </w:pPr>
            <w:r w:rsidRPr="00A9398D">
              <w:rPr>
                <w:rFonts w:ascii="Verdana" w:hAnsi="Verdana"/>
                <w:b/>
                <w:bCs/>
                <w:sz w:val="20"/>
                <w:szCs w:val="20"/>
                <w:lang w:val="en-GB"/>
              </w:rPr>
              <w:t xml:space="preserve">Specific tasks </w:t>
            </w:r>
          </w:p>
          <w:p w:rsidR="00D4045B" w:rsidRPr="00A9398D" w:rsidRDefault="00D4045B" w:rsidP="0094175A">
            <w:pPr>
              <w:numPr>
                <w:ilvl w:val="0"/>
                <w:numId w:val="2"/>
              </w:numPr>
              <w:rPr>
                <w:rFonts w:ascii="Verdana" w:hAnsi="Verdana"/>
                <w:sz w:val="20"/>
                <w:szCs w:val="20"/>
                <w:lang w:val="en-GB"/>
              </w:rPr>
            </w:pPr>
            <w:r w:rsidRPr="00A9398D">
              <w:rPr>
                <w:rFonts w:ascii="Verdana" w:hAnsi="Verdana"/>
                <w:sz w:val="20"/>
                <w:szCs w:val="20"/>
                <w:lang w:val="en-GB"/>
              </w:rPr>
              <w:t>To contribute to the definition of the benchmark that “in 2020, at least 20% of those graduating in the Higher Education Area should have a study or training period abroad”</w:t>
            </w:r>
          </w:p>
          <w:p w:rsidR="00D4045B" w:rsidRPr="00A9398D" w:rsidRDefault="00D4045B" w:rsidP="0094175A">
            <w:pPr>
              <w:numPr>
                <w:ilvl w:val="0"/>
                <w:numId w:val="2"/>
              </w:numPr>
              <w:rPr>
                <w:rFonts w:ascii="Verdana" w:hAnsi="Verdana"/>
                <w:sz w:val="20"/>
                <w:szCs w:val="20"/>
                <w:lang w:val="en-GB"/>
              </w:rPr>
            </w:pPr>
            <w:r w:rsidRPr="00A9398D">
              <w:rPr>
                <w:rFonts w:ascii="Verdana" w:hAnsi="Verdana"/>
                <w:sz w:val="20"/>
                <w:szCs w:val="20"/>
                <w:lang w:val="en-GB"/>
              </w:rPr>
              <w:t xml:space="preserve">To define the needs of improved and enhanced data collection with regard to information on the reasons for mobility (studies, work experience, language course, etc), the length of the stay, the types of mobility (free mover, programme mobility, vertical mobility), mobility by cycle, by socio-economic background and to communicate the results to the working group Implementation of the Bologna Process </w:t>
            </w:r>
          </w:p>
          <w:p w:rsidR="00D4045B" w:rsidRPr="00A9398D" w:rsidRDefault="00D4045B" w:rsidP="0094175A">
            <w:pPr>
              <w:numPr>
                <w:ilvl w:val="0"/>
                <w:numId w:val="2"/>
              </w:numPr>
              <w:rPr>
                <w:rFonts w:ascii="Verdana" w:hAnsi="Verdana"/>
                <w:sz w:val="20"/>
                <w:szCs w:val="20"/>
                <w:lang w:val="en-GB"/>
              </w:rPr>
            </w:pPr>
            <w:r w:rsidRPr="00A9398D">
              <w:rPr>
                <w:rFonts w:ascii="Verdana" w:hAnsi="Verdana"/>
                <w:sz w:val="20"/>
                <w:szCs w:val="20"/>
                <w:lang w:val="en-GB"/>
              </w:rPr>
              <w:t>To collect specific examples of different kinds of mobility barriers for students and staff (structural, legal, financial, other) – possibly in co-operation with the working groups on social dimension and recognition</w:t>
            </w:r>
          </w:p>
          <w:p w:rsidR="00D4045B" w:rsidRPr="00A9398D" w:rsidRDefault="00D4045B" w:rsidP="0094175A">
            <w:pPr>
              <w:numPr>
                <w:ilvl w:val="0"/>
                <w:numId w:val="2"/>
              </w:numPr>
              <w:rPr>
                <w:rFonts w:ascii="Verdana" w:hAnsi="Verdana"/>
                <w:sz w:val="20"/>
                <w:szCs w:val="20"/>
                <w:lang w:val="en-GB"/>
              </w:rPr>
            </w:pPr>
            <w:r w:rsidRPr="00A9398D">
              <w:rPr>
                <w:rFonts w:ascii="Verdana" w:hAnsi="Verdana"/>
                <w:sz w:val="20"/>
                <w:szCs w:val="20"/>
                <w:lang w:val="en-GB"/>
              </w:rPr>
              <w:t>To identify examples of good practice to overcome mobility barriers and develop recommendations on actions to be taken on different levels</w:t>
            </w:r>
          </w:p>
          <w:p w:rsidR="00D4045B" w:rsidRPr="00A9398D" w:rsidRDefault="00D4045B" w:rsidP="0094175A">
            <w:pPr>
              <w:numPr>
                <w:ilvl w:val="0"/>
                <w:numId w:val="2"/>
              </w:numPr>
              <w:rPr>
                <w:rFonts w:ascii="Verdana" w:hAnsi="Verdana"/>
                <w:sz w:val="20"/>
                <w:szCs w:val="20"/>
                <w:lang w:val="en-GB"/>
              </w:rPr>
            </w:pPr>
            <w:r w:rsidRPr="00A9398D">
              <w:rPr>
                <w:rFonts w:ascii="Verdana" w:hAnsi="Verdana"/>
                <w:sz w:val="20"/>
                <w:szCs w:val="20"/>
                <w:lang w:val="en-GB"/>
              </w:rPr>
              <w:t>To identify reasons for imbalanced mobility and collect examples of good practice for encouraging balanced mobility</w:t>
            </w:r>
          </w:p>
          <w:p w:rsidR="00D4045B" w:rsidRPr="00A9398D" w:rsidRDefault="00D4045B" w:rsidP="0094175A">
            <w:pPr>
              <w:numPr>
                <w:ilvl w:val="0"/>
                <w:numId w:val="2"/>
              </w:numPr>
              <w:rPr>
                <w:rFonts w:ascii="Verdana" w:hAnsi="Verdana"/>
                <w:sz w:val="20"/>
                <w:szCs w:val="20"/>
                <w:lang w:val="en-GB"/>
              </w:rPr>
            </w:pPr>
            <w:r w:rsidRPr="00A9398D">
              <w:rPr>
                <w:rFonts w:ascii="Verdana" w:hAnsi="Verdana"/>
                <w:sz w:val="20"/>
                <w:szCs w:val="20"/>
                <w:lang w:val="en-GB"/>
              </w:rPr>
              <w:t>To liaise with relevant mobility seminars organised in the 2009-2012 period</w:t>
            </w:r>
          </w:p>
          <w:p w:rsidR="00D4045B" w:rsidRPr="00A9398D" w:rsidRDefault="00D4045B" w:rsidP="0094175A">
            <w:pPr>
              <w:numPr>
                <w:ilvl w:val="0"/>
                <w:numId w:val="2"/>
              </w:numPr>
              <w:rPr>
                <w:rFonts w:ascii="Verdana" w:hAnsi="Verdana"/>
                <w:sz w:val="20"/>
                <w:szCs w:val="20"/>
                <w:lang w:val="en-GB"/>
              </w:rPr>
            </w:pPr>
            <w:r w:rsidRPr="00A9398D">
              <w:rPr>
                <w:rFonts w:ascii="Verdana" w:hAnsi="Verdana"/>
                <w:sz w:val="20"/>
                <w:szCs w:val="20"/>
                <w:lang w:val="en-GB"/>
              </w:rPr>
              <w:t xml:space="preserve">Based on discussions with </w:t>
            </w:r>
            <w:smartTag w:uri="urn:schemas-microsoft-com:office:smarttags" w:element="PersonName">
              <w:r w:rsidRPr="00A9398D">
                <w:rPr>
                  <w:rFonts w:ascii="Verdana" w:hAnsi="Verdana"/>
                  <w:sz w:val="20"/>
                  <w:szCs w:val="20"/>
                  <w:lang w:val="en-GB"/>
                </w:rPr>
                <w:t>BFUG</w:t>
              </w:r>
            </w:smartTag>
            <w:r w:rsidRPr="00A9398D">
              <w:rPr>
                <w:rFonts w:ascii="Verdana" w:hAnsi="Verdana"/>
                <w:sz w:val="20"/>
                <w:szCs w:val="20"/>
                <w:lang w:val="en-GB"/>
              </w:rPr>
              <w:t xml:space="preserve"> on possible actions, to draft an EHEA Strategy for Mobility</w:t>
            </w:r>
          </w:p>
        </w:tc>
      </w:tr>
      <w:tr w:rsidR="00D4045B" w:rsidRPr="002D6983" w:rsidTr="00B850A5">
        <w:trPr>
          <w:trHeight w:val="2379"/>
        </w:trPr>
        <w:tc>
          <w:tcPr>
            <w:tcW w:w="9540" w:type="dxa"/>
          </w:tcPr>
          <w:p w:rsidR="00D4045B" w:rsidRPr="00A9398D" w:rsidRDefault="00D4045B" w:rsidP="00B850A5">
            <w:pPr>
              <w:rPr>
                <w:rFonts w:ascii="Verdana" w:hAnsi="Verdana"/>
                <w:b/>
                <w:bCs/>
                <w:sz w:val="20"/>
                <w:szCs w:val="20"/>
                <w:lang w:val="en-GB"/>
              </w:rPr>
            </w:pPr>
            <w:r w:rsidRPr="00A9398D">
              <w:rPr>
                <w:rFonts w:ascii="Verdana" w:hAnsi="Verdana"/>
                <w:b/>
                <w:bCs/>
                <w:sz w:val="20"/>
                <w:szCs w:val="20"/>
                <w:lang w:val="en-GB"/>
              </w:rPr>
              <w:t xml:space="preserve">Reporting </w:t>
            </w:r>
          </w:p>
          <w:p w:rsidR="00D4045B" w:rsidRPr="00A9398D" w:rsidRDefault="00D4045B" w:rsidP="00B850A5">
            <w:pPr>
              <w:rPr>
                <w:rFonts w:ascii="Verdana" w:hAnsi="Verdana"/>
                <w:sz w:val="20"/>
                <w:szCs w:val="20"/>
                <w:lang w:val="en-GB"/>
              </w:rPr>
            </w:pPr>
            <w:r w:rsidRPr="00A9398D">
              <w:rPr>
                <w:rFonts w:ascii="Verdana" w:hAnsi="Verdana"/>
                <w:sz w:val="20"/>
                <w:szCs w:val="20"/>
                <w:u w:val="single"/>
                <w:lang w:val="en-GB"/>
              </w:rPr>
              <w:t>Minutes</w:t>
            </w:r>
            <w:r w:rsidRPr="00A9398D">
              <w:rPr>
                <w:rFonts w:ascii="Verdana" w:hAnsi="Verdana"/>
                <w:sz w:val="20"/>
                <w:szCs w:val="20"/>
                <w:lang w:val="en-GB"/>
              </w:rPr>
              <w:t xml:space="preserve"> of working group meetings will be made available to </w:t>
            </w:r>
            <w:smartTag w:uri="urn:schemas-microsoft-com:office:smarttags" w:element="PersonName">
              <w:r w:rsidRPr="00A9398D">
                <w:rPr>
                  <w:rFonts w:ascii="Verdana" w:hAnsi="Verdana"/>
                  <w:sz w:val="20"/>
                  <w:szCs w:val="20"/>
                  <w:lang w:val="en-GB"/>
                </w:rPr>
                <w:t>BFUG</w:t>
              </w:r>
            </w:smartTag>
            <w:r w:rsidRPr="00A9398D">
              <w:rPr>
                <w:rFonts w:ascii="Verdana" w:hAnsi="Verdana"/>
                <w:sz w:val="20"/>
                <w:szCs w:val="20"/>
                <w:lang w:val="en-GB"/>
              </w:rPr>
              <w:t xml:space="preserve"> on the protected part of the website (by the </w:t>
            </w:r>
            <w:smartTag w:uri="urn:schemas-microsoft-com:office:smarttags" w:element="PersonName">
              <w:r w:rsidRPr="00A9398D">
                <w:rPr>
                  <w:rFonts w:ascii="Verdana" w:hAnsi="Verdana"/>
                  <w:sz w:val="20"/>
                  <w:szCs w:val="20"/>
                  <w:lang w:val="en-GB"/>
                </w:rPr>
                <w:t>Bologna Secretariat</w:t>
              </w:r>
            </w:smartTag>
            <w:r w:rsidRPr="00A9398D">
              <w:rPr>
                <w:rFonts w:ascii="Verdana" w:hAnsi="Verdana"/>
                <w:sz w:val="20"/>
                <w:szCs w:val="20"/>
                <w:lang w:val="en-GB"/>
              </w:rPr>
              <w:t xml:space="preserve">). </w:t>
            </w:r>
          </w:p>
          <w:p w:rsidR="00D4045B" w:rsidRPr="00A9398D" w:rsidRDefault="00D4045B" w:rsidP="00B850A5">
            <w:pPr>
              <w:rPr>
                <w:rFonts w:ascii="Verdana" w:hAnsi="Verdana"/>
                <w:sz w:val="20"/>
                <w:szCs w:val="20"/>
                <w:lang w:val="en-GB"/>
              </w:rPr>
            </w:pPr>
          </w:p>
          <w:p w:rsidR="00D4045B" w:rsidRPr="00A9398D" w:rsidRDefault="00D4045B" w:rsidP="00B850A5">
            <w:pPr>
              <w:rPr>
                <w:rFonts w:ascii="Verdana" w:hAnsi="Verdana"/>
                <w:sz w:val="20"/>
                <w:szCs w:val="20"/>
                <w:lang w:val="en-GB"/>
              </w:rPr>
            </w:pPr>
            <w:smartTag w:uri="urn:schemas-microsoft-com:office:smarttags" w:element="PersonName">
              <w:r w:rsidRPr="00A9398D">
                <w:rPr>
                  <w:rFonts w:ascii="Verdana" w:hAnsi="Verdana"/>
                  <w:sz w:val="20"/>
                  <w:szCs w:val="20"/>
                  <w:u w:val="single"/>
                  <w:lang w:val="en-GB"/>
                </w:rPr>
                <w:t>BFUG</w:t>
              </w:r>
            </w:smartTag>
            <w:r w:rsidRPr="00A9398D">
              <w:rPr>
                <w:rFonts w:ascii="Verdana" w:hAnsi="Verdana"/>
                <w:sz w:val="20"/>
                <w:szCs w:val="20"/>
                <w:u w:val="single"/>
                <w:lang w:val="en-GB"/>
              </w:rPr>
              <w:t xml:space="preserve"> should also receive regular reports and updates</w:t>
            </w:r>
            <w:r w:rsidRPr="00A9398D">
              <w:rPr>
                <w:rFonts w:ascii="Verdana" w:hAnsi="Verdana"/>
                <w:sz w:val="20"/>
                <w:szCs w:val="20"/>
                <w:lang w:val="en-GB"/>
              </w:rPr>
              <w:t xml:space="preserve">. </w:t>
            </w:r>
          </w:p>
          <w:p w:rsidR="00D4045B" w:rsidRPr="00A9398D" w:rsidRDefault="00D4045B" w:rsidP="00B850A5">
            <w:pPr>
              <w:rPr>
                <w:rFonts w:ascii="Verdana" w:hAnsi="Verdana"/>
                <w:sz w:val="20"/>
                <w:szCs w:val="20"/>
                <w:lang w:val="en-GB"/>
              </w:rPr>
            </w:pPr>
            <w:r w:rsidRPr="00A9398D">
              <w:rPr>
                <w:rFonts w:ascii="Verdana" w:hAnsi="Verdana"/>
                <w:sz w:val="20"/>
                <w:szCs w:val="20"/>
                <w:lang w:val="en-GB"/>
              </w:rPr>
              <w:t xml:space="preserve">To allow for good communication with </w:t>
            </w:r>
            <w:smartTag w:uri="urn:schemas-microsoft-com:office:smarttags" w:element="PersonName">
              <w:r w:rsidRPr="00A9398D">
                <w:rPr>
                  <w:rFonts w:ascii="Verdana" w:hAnsi="Verdana"/>
                  <w:sz w:val="20"/>
                  <w:szCs w:val="20"/>
                  <w:lang w:val="en-GB"/>
                </w:rPr>
                <w:t>BFUG</w:t>
              </w:r>
            </w:smartTag>
            <w:r w:rsidRPr="00A9398D">
              <w:rPr>
                <w:rFonts w:ascii="Verdana" w:hAnsi="Verdana"/>
                <w:sz w:val="20"/>
                <w:szCs w:val="20"/>
                <w:lang w:val="en-GB"/>
              </w:rPr>
              <w:t xml:space="preserve"> as a whole and for the necessary consultations, progress reports should be submitted at least two weeks before each </w:t>
            </w:r>
            <w:smartTag w:uri="urn:schemas-microsoft-com:office:smarttags" w:element="PersonName">
              <w:r w:rsidRPr="00A9398D">
                <w:rPr>
                  <w:rFonts w:ascii="Verdana" w:hAnsi="Verdana"/>
                  <w:sz w:val="20"/>
                  <w:szCs w:val="20"/>
                  <w:lang w:val="en-GB"/>
                </w:rPr>
                <w:t>BFUG</w:t>
              </w:r>
            </w:smartTag>
            <w:r w:rsidRPr="00A9398D">
              <w:rPr>
                <w:rFonts w:ascii="Verdana" w:hAnsi="Verdana"/>
                <w:sz w:val="20"/>
                <w:szCs w:val="20"/>
                <w:lang w:val="en-GB"/>
              </w:rPr>
              <w:t xml:space="preserve"> meeting. In between </w:t>
            </w:r>
            <w:smartTag w:uri="urn:schemas-microsoft-com:office:smarttags" w:element="PersonName">
              <w:r w:rsidRPr="00A9398D">
                <w:rPr>
                  <w:rFonts w:ascii="Verdana" w:hAnsi="Verdana"/>
                  <w:sz w:val="20"/>
                  <w:szCs w:val="20"/>
                  <w:lang w:val="en-GB"/>
                </w:rPr>
                <w:t>BFUG</w:t>
              </w:r>
            </w:smartTag>
            <w:r w:rsidRPr="00A9398D">
              <w:rPr>
                <w:rFonts w:ascii="Verdana" w:hAnsi="Verdana"/>
                <w:sz w:val="20"/>
                <w:szCs w:val="20"/>
                <w:lang w:val="en-GB"/>
              </w:rPr>
              <w:t xml:space="preserve"> meetings, updates can be circulated by the </w:t>
            </w:r>
            <w:smartTag w:uri="urn:schemas-microsoft-com:office:smarttags" w:element="PersonName">
              <w:r w:rsidRPr="00A9398D">
                <w:rPr>
                  <w:rFonts w:ascii="Verdana" w:hAnsi="Verdana"/>
                  <w:sz w:val="20"/>
                  <w:szCs w:val="20"/>
                  <w:lang w:val="en-GB"/>
                </w:rPr>
                <w:t>Bologna Secretariat</w:t>
              </w:r>
            </w:smartTag>
            <w:r w:rsidRPr="00A9398D">
              <w:rPr>
                <w:rFonts w:ascii="Verdana" w:hAnsi="Verdana"/>
                <w:sz w:val="20"/>
                <w:szCs w:val="20"/>
                <w:lang w:val="en-GB"/>
              </w:rPr>
              <w:t xml:space="preserve"> via e-mail.  </w:t>
            </w:r>
          </w:p>
          <w:p w:rsidR="00D4045B" w:rsidRPr="00A9398D" w:rsidRDefault="00D4045B" w:rsidP="00B850A5">
            <w:pPr>
              <w:rPr>
                <w:rFonts w:ascii="Verdana" w:hAnsi="Verdana"/>
                <w:sz w:val="20"/>
                <w:szCs w:val="20"/>
                <w:lang w:val="en-GB"/>
              </w:rPr>
            </w:pPr>
          </w:p>
          <w:p w:rsidR="00D4045B" w:rsidRPr="00A9398D" w:rsidRDefault="00D4045B" w:rsidP="00B850A5">
            <w:pPr>
              <w:rPr>
                <w:rFonts w:ascii="Verdana" w:hAnsi="Verdana"/>
                <w:sz w:val="20"/>
                <w:szCs w:val="20"/>
                <w:lang w:val="en-GB"/>
              </w:rPr>
            </w:pPr>
            <w:r w:rsidRPr="00A9398D">
              <w:rPr>
                <w:rFonts w:ascii="Verdana" w:hAnsi="Verdana"/>
                <w:b/>
                <w:bCs/>
                <w:sz w:val="20"/>
                <w:szCs w:val="20"/>
                <w:lang w:val="en-GB"/>
              </w:rPr>
              <w:t xml:space="preserve">The draft of the EHEA Strategy for mobility will be presented and discussed no later than the </w:t>
            </w:r>
            <w:smartTag w:uri="urn:schemas-microsoft-com:office:smarttags" w:element="PersonName">
              <w:r w:rsidRPr="00A9398D">
                <w:rPr>
                  <w:rFonts w:ascii="Verdana" w:hAnsi="Verdana"/>
                  <w:b/>
                  <w:bCs/>
                  <w:sz w:val="20"/>
                  <w:szCs w:val="20"/>
                  <w:lang w:val="en-GB"/>
                </w:rPr>
                <w:t>BFUG</w:t>
              </w:r>
            </w:smartTag>
            <w:r w:rsidRPr="00A9398D">
              <w:rPr>
                <w:rFonts w:ascii="Verdana" w:hAnsi="Verdana"/>
                <w:b/>
                <w:bCs/>
                <w:sz w:val="20"/>
                <w:szCs w:val="20"/>
                <w:lang w:val="en-GB"/>
              </w:rPr>
              <w:t xml:space="preserve"> meeting in the second half of 2011.</w:t>
            </w:r>
          </w:p>
        </w:tc>
      </w:tr>
      <w:tr w:rsidR="00D4045B" w:rsidRPr="002D6983" w:rsidTr="00B850A5">
        <w:trPr>
          <w:trHeight w:val="1339"/>
        </w:trPr>
        <w:tc>
          <w:tcPr>
            <w:tcW w:w="9540" w:type="dxa"/>
          </w:tcPr>
          <w:p w:rsidR="00D4045B" w:rsidRPr="00A9398D" w:rsidRDefault="00D4045B" w:rsidP="00B850A5">
            <w:pPr>
              <w:rPr>
                <w:rFonts w:ascii="Verdana" w:hAnsi="Verdana"/>
                <w:sz w:val="20"/>
                <w:szCs w:val="20"/>
                <w:lang w:val="en-GB"/>
              </w:rPr>
            </w:pPr>
            <w:r w:rsidRPr="00A9398D">
              <w:rPr>
                <w:rFonts w:ascii="Verdana" w:hAnsi="Verdana"/>
                <w:b/>
                <w:bCs/>
                <w:sz w:val="20"/>
                <w:szCs w:val="20"/>
                <w:lang w:val="en-GB"/>
              </w:rPr>
              <w:t xml:space="preserve">Meeting schedule </w:t>
            </w:r>
          </w:p>
          <w:p w:rsidR="00D4045B" w:rsidRPr="00A9398D" w:rsidRDefault="00D4045B" w:rsidP="00B850A5">
            <w:pPr>
              <w:rPr>
                <w:rFonts w:ascii="Verdana" w:hAnsi="Verdana"/>
                <w:sz w:val="20"/>
                <w:szCs w:val="20"/>
                <w:lang w:val="en-GB"/>
              </w:rPr>
            </w:pPr>
            <w:r w:rsidRPr="00A9398D">
              <w:rPr>
                <w:rFonts w:ascii="Verdana" w:hAnsi="Verdana"/>
                <w:sz w:val="20"/>
                <w:szCs w:val="20"/>
                <w:lang w:val="en-GB"/>
              </w:rPr>
              <w:t xml:space="preserve">First meeting: </w:t>
            </w:r>
            <w:smartTag w:uri="urn:schemas-microsoft-com:office:smarttags" w:element="State">
              <w:smartTag w:uri="urn:schemas-microsoft-com:office:smarttags" w:element="place">
                <w:r w:rsidRPr="00A9398D">
                  <w:rPr>
                    <w:rFonts w:ascii="Verdana" w:hAnsi="Verdana"/>
                    <w:sz w:val="20"/>
                    <w:szCs w:val="20"/>
                    <w:lang w:val="en-GB"/>
                  </w:rPr>
                  <w:t>Berlin</w:t>
                </w:r>
              </w:smartTag>
            </w:smartTag>
            <w:r w:rsidRPr="00A9398D">
              <w:rPr>
                <w:rFonts w:ascii="Verdana" w:hAnsi="Verdana"/>
                <w:sz w:val="20"/>
                <w:szCs w:val="20"/>
                <w:lang w:val="en-GB"/>
              </w:rPr>
              <w:t>, 13 January 2010 (to set up a detailed work plan for the period 2010-2012 and discuss the definition of the benchmark.)</w:t>
            </w:r>
          </w:p>
          <w:p w:rsidR="00D4045B" w:rsidRPr="00A9398D" w:rsidRDefault="00D4045B" w:rsidP="00B850A5">
            <w:pPr>
              <w:rPr>
                <w:rFonts w:ascii="Verdana" w:hAnsi="Verdana"/>
                <w:sz w:val="20"/>
                <w:szCs w:val="20"/>
                <w:lang w:val="en-GB"/>
              </w:rPr>
            </w:pPr>
          </w:p>
        </w:tc>
      </w:tr>
      <w:tr w:rsidR="00D4045B" w:rsidRPr="002D6983" w:rsidTr="00B850A5">
        <w:trPr>
          <w:trHeight w:val="1084"/>
        </w:trPr>
        <w:tc>
          <w:tcPr>
            <w:tcW w:w="9540" w:type="dxa"/>
          </w:tcPr>
          <w:p w:rsidR="00D4045B" w:rsidRPr="00A9398D" w:rsidRDefault="00D4045B" w:rsidP="00B850A5">
            <w:pPr>
              <w:rPr>
                <w:rFonts w:ascii="Verdana" w:hAnsi="Verdana"/>
                <w:sz w:val="20"/>
                <w:szCs w:val="20"/>
                <w:lang w:val="en-GB"/>
              </w:rPr>
            </w:pPr>
            <w:r w:rsidRPr="00A9398D">
              <w:rPr>
                <w:rFonts w:ascii="Verdana" w:hAnsi="Verdana"/>
                <w:b/>
                <w:bCs/>
                <w:sz w:val="20"/>
                <w:szCs w:val="20"/>
                <w:lang w:val="en-GB"/>
              </w:rPr>
              <w:t>Liaison with other action lines</w:t>
            </w:r>
            <w:r w:rsidRPr="00A9398D">
              <w:rPr>
                <w:rFonts w:ascii="Verdana" w:hAnsi="Verdana"/>
                <w:sz w:val="20"/>
                <w:szCs w:val="20"/>
                <w:lang w:val="en-GB"/>
              </w:rPr>
              <w:t xml:space="preserve"> </w:t>
            </w:r>
          </w:p>
          <w:p w:rsidR="00D4045B" w:rsidRPr="00A9398D" w:rsidRDefault="00D4045B" w:rsidP="00B850A5">
            <w:pPr>
              <w:rPr>
                <w:rFonts w:ascii="Verdana" w:hAnsi="Verdana"/>
                <w:sz w:val="20"/>
                <w:szCs w:val="20"/>
                <w:lang w:val="en-GB"/>
              </w:rPr>
            </w:pPr>
            <w:r w:rsidRPr="00A9398D">
              <w:rPr>
                <w:rFonts w:ascii="Verdana" w:hAnsi="Verdana"/>
                <w:sz w:val="20"/>
                <w:szCs w:val="20"/>
                <w:lang w:val="en-GB"/>
              </w:rPr>
              <w:t xml:space="preserve">The chair of the working group will participate in meetings of the working group on reporting on the implementation of the Bologna Process in order to liaise with stocktaking and data collection. </w:t>
            </w:r>
          </w:p>
          <w:p w:rsidR="00D4045B" w:rsidRPr="00A9398D" w:rsidRDefault="00D4045B" w:rsidP="00B850A5">
            <w:pPr>
              <w:rPr>
                <w:rFonts w:ascii="Verdana" w:hAnsi="Verdana"/>
                <w:sz w:val="20"/>
                <w:szCs w:val="20"/>
                <w:lang w:val="en-GB"/>
              </w:rPr>
            </w:pPr>
          </w:p>
          <w:p w:rsidR="00D4045B" w:rsidRPr="00A9398D" w:rsidRDefault="00D4045B" w:rsidP="00B850A5">
            <w:pPr>
              <w:rPr>
                <w:rFonts w:ascii="Verdana" w:hAnsi="Verdana"/>
                <w:sz w:val="20"/>
                <w:szCs w:val="20"/>
                <w:lang w:val="en-GB"/>
              </w:rPr>
            </w:pPr>
            <w:r w:rsidRPr="00A9398D">
              <w:rPr>
                <w:rFonts w:ascii="Verdana" w:hAnsi="Verdana"/>
                <w:sz w:val="20"/>
                <w:szCs w:val="20"/>
                <w:lang w:val="en-GB"/>
              </w:rPr>
              <w:t>Cooperation with other working groups, in particular those on social dimension, the EHEA in a global context, and recognition will be organized in the relevant context.</w:t>
            </w:r>
          </w:p>
          <w:p w:rsidR="00D4045B" w:rsidRPr="00A9398D" w:rsidRDefault="00D4045B" w:rsidP="00B850A5">
            <w:pPr>
              <w:rPr>
                <w:rFonts w:ascii="Verdana" w:hAnsi="Verdana"/>
                <w:sz w:val="20"/>
                <w:szCs w:val="20"/>
                <w:lang w:val="en-GB"/>
              </w:rPr>
            </w:pPr>
          </w:p>
        </w:tc>
      </w:tr>
      <w:tr w:rsidR="00D4045B" w:rsidRPr="00A9398D" w:rsidTr="00B850A5">
        <w:trPr>
          <w:trHeight w:val="844"/>
        </w:trPr>
        <w:tc>
          <w:tcPr>
            <w:tcW w:w="9540" w:type="dxa"/>
          </w:tcPr>
          <w:p w:rsidR="00D4045B" w:rsidRPr="00A9398D" w:rsidRDefault="00D4045B" w:rsidP="00B850A5">
            <w:pPr>
              <w:rPr>
                <w:rFonts w:ascii="Verdana" w:hAnsi="Verdana"/>
                <w:b/>
                <w:bCs/>
                <w:sz w:val="20"/>
                <w:szCs w:val="20"/>
                <w:lang w:val="en-GB"/>
              </w:rPr>
            </w:pPr>
            <w:r w:rsidRPr="00A9398D">
              <w:rPr>
                <w:rFonts w:ascii="Verdana" w:hAnsi="Verdana"/>
                <w:b/>
                <w:bCs/>
                <w:sz w:val="20"/>
                <w:szCs w:val="20"/>
                <w:lang w:val="en-GB"/>
              </w:rPr>
              <w:t xml:space="preserve">Additional remarks </w:t>
            </w:r>
          </w:p>
          <w:p w:rsidR="00D4045B" w:rsidRPr="00A9398D" w:rsidRDefault="00D4045B" w:rsidP="00B850A5">
            <w:pPr>
              <w:rPr>
                <w:rFonts w:ascii="Verdana" w:hAnsi="Verdana"/>
                <w:b/>
                <w:bCs/>
                <w:sz w:val="20"/>
                <w:szCs w:val="20"/>
                <w:lang w:val="en-GB"/>
              </w:rPr>
            </w:pPr>
          </w:p>
        </w:tc>
      </w:tr>
    </w:tbl>
    <w:p w:rsidR="00D4045B" w:rsidRDefault="00D4045B"/>
    <w:sectPr w:rsidR="00D4045B" w:rsidSect="00F5685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8C642E"/>
    <w:multiLevelType w:val="hybridMultilevel"/>
    <w:tmpl w:val="74AC45F8"/>
    <w:lvl w:ilvl="0" w:tplc="B8B0DDCC">
      <w:start w:val="1"/>
      <w:numFmt w:val="bullet"/>
      <w:lvlText w:val=""/>
      <w:lvlJc w:val="left"/>
      <w:pPr>
        <w:tabs>
          <w:tab w:val="num" w:pos="625"/>
        </w:tabs>
        <w:ind w:left="625" w:hanging="341"/>
      </w:pPr>
      <w:rPr>
        <w:rFonts w:ascii="Symbol" w:hAnsi="Symbol" w:hint="default"/>
        <w:sz w:val="2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7B3025D6"/>
    <w:multiLevelType w:val="hybridMultilevel"/>
    <w:tmpl w:val="5644DE28"/>
    <w:lvl w:ilvl="0" w:tplc="AF4EB966">
      <w:start w:val="1"/>
      <w:numFmt w:val="bullet"/>
      <w:lvlText w:val=""/>
      <w:lvlJc w:val="left"/>
      <w:pPr>
        <w:tabs>
          <w:tab w:val="num" w:pos="284"/>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175A"/>
    <w:rsid w:val="00144311"/>
    <w:rsid w:val="002D6983"/>
    <w:rsid w:val="002E5B7C"/>
    <w:rsid w:val="00734B51"/>
    <w:rsid w:val="0089485B"/>
    <w:rsid w:val="0094175A"/>
    <w:rsid w:val="00976FC5"/>
    <w:rsid w:val="00A9398D"/>
    <w:rsid w:val="00B850A5"/>
    <w:rsid w:val="00D4045B"/>
    <w:rsid w:val="00DD5386"/>
    <w:rsid w:val="00F56850"/>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75A"/>
    <w:rPr>
      <w:rFonts w:ascii="Times New Roman" w:eastAsia="Times New Roman" w:hAnsi="Times New Roman"/>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4175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eter.greisler@bmbf.bund.de"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B3B5F72B036A44A5A3E397A1DAA3F1" ma:contentTypeVersion="0" ma:contentTypeDescription="Create a new document." ma:contentTypeScope="" ma:versionID="5c514925d772ee56aa547b89b3c8857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C154D4-86A8-4882-846B-A9D54BF2B77D}"/>
</file>

<file path=customXml/itemProps2.xml><?xml version="1.0" encoding="utf-8"?>
<ds:datastoreItem xmlns:ds="http://schemas.openxmlformats.org/officeDocument/2006/customXml" ds:itemID="{BFCFF6B1-1A6A-476D-B5A7-FEBE5735827B}"/>
</file>

<file path=customXml/itemProps3.xml><?xml version="1.0" encoding="utf-8"?>
<ds:datastoreItem xmlns:ds="http://schemas.openxmlformats.org/officeDocument/2006/customXml" ds:itemID="{F808AF03-16B9-41AC-8DE1-4DB3A2A4A223}"/>
</file>

<file path=docProps/app.xml><?xml version="1.0" encoding="utf-8"?>
<Properties xmlns="http://schemas.openxmlformats.org/officeDocument/2006/extended-properties" xmlns:vt="http://schemas.openxmlformats.org/officeDocument/2006/docPropsVTypes">
  <Template>Normal_Wordconv</Template>
  <TotalTime>2</TotalTime>
  <Pages>2</Pages>
  <Words>610</Words>
  <Characters>3358</Characters>
  <Application>Microsoft Office Outlook</Application>
  <DocSecurity>0</DocSecurity>
  <Lines>0</Lines>
  <Paragraphs>0</Paragraphs>
  <ScaleCrop>false</ScaleCrop>
  <Company>BMBF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herdegena</dc:creator>
  <cp:keywords/>
  <dc:description/>
  <cp:lastModifiedBy>soenenma</cp:lastModifiedBy>
  <cp:revision>2</cp:revision>
  <dcterms:created xsi:type="dcterms:W3CDTF">2009-12-14T19:56:00Z</dcterms:created>
  <dcterms:modified xsi:type="dcterms:W3CDTF">2009-12-18T11:01:00Z</dcterms:modified>
</cp:coreProperties>
</file>