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41CE" w14:textId="7ACBD279" w:rsidR="00152FC0" w:rsidRPr="00F21FF2" w:rsidRDefault="00000000" w:rsidP="00F21FF2">
      <w:pPr>
        <w:widowControl w:val="0"/>
        <w:pBdr>
          <w:top w:val="nil"/>
          <w:left w:val="nil"/>
          <w:bottom w:val="nil"/>
          <w:right w:val="nil"/>
          <w:between w:val="nil"/>
        </w:pBdr>
        <w:jc w:val="center"/>
        <w:rPr>
          <w:rFonts w:ascii="Times New Roman" w:eastAsia="Times New Roman" w:hAnsi="Times New Roman" w:cs="Times New Roman"/>
          <w:b/>
          <w:color w:val="000000"/>
          <w:sz w:val="40"/>
          <w:szCs w:val="40"/>
        </w:rPr>
      </w:pPr>
      <w:r>
        <w:rPr>
          <w:sz w:val="40"/>
          <w:szCs w:val="40"/>
        </w:rPr>
        <w:pict w14:anchorId="0D571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0pt;height:50pt;z-index:251657728;visibility:hidden">
            <o:lock v:ext="edit" selection="t"/>
          </v:shape>
        </w:pict>
      </w:r>
      <w:r w:rsidR="007868F1" w:rsidRPr="00F21FF2">
        <w:rPr>
          <w:rFonts w:ascii="Times New Roman" w:eastAsia="Times New Roman" w:hAnsi="Times New Roman" w:cs="Times New Roman"/>
          <w:b/>
          <w:color w:val="000000"/>
          <w:sz w:val="40"/>
          <w:szCs w:val="40"/>
        </w:rPr>
        <w:t>“</w:t>
      </w:r>
      <w:r w:rsidR="0080179B" w:rsidRPr="00F21FF2">
        <w:rPr>
          <w:rFonts w:ascii="Times New Roman" w:eastAsia="Times New Roman" w:hAnsi="Times New Roman" w:cs="Times New Roman"/>
          <w:b/>
          <w:color w:val="000000"/>
          <w:sz w:val="40"/>
          <w:szCs w:val="40"/>
        </w:rPr>
        <w:t>Principles and Guidelines to Strengthen the Social Dimension of Higher Education in the EHEA</w:t>
      </w:r>
      <w:r w:rsidR="007868F1" w:rsidRPr="00F21FF2">
        <w:rPr>
          <w:rFonts w:ascii="Times New Roman" w:eastAsia="Times New Roman" w:hAnsi="Times New Roman" w:cs="Times New Roman"/>
          <w:b/>
          <w:color w:val="000000"/>
          <w:sz w:val="40"/>
          <w:szCs w:val="40"/>
        </w:rPr>
        <w:t>”</w:t>
      </w:r>
    </w:p>
    <w:p w14:paraId="34E33F23" w14:textId="77777777" w:rsidR="00F21FF2" w:rsidRDefault="00F21FF2" w:rsidP="00F21FF2">
      <w:pPr>
        <w:pBdr>
          <w:top w:val="nil"/>
          <w:left w:val="nil"/>
          <w:bottom w:val="nil"/>
          <w:right w:val="nil"/>
          <w:between w:val="nil"/>
        </w:pBdr>
        <w:tabs>
          <w:tab w:val="left" w:pos="5670"/>
        </w:tabs>
        <w:jc w:val="both"/>
        <w:rPr>
          <w:rFonts w:ascii="Times New Roman" w:eastAsia="Times New Roman" w:hAnsi="Times New Roman" w:cs="Times New Roman"/>
          <w:b/>
          <w:color w:val="000000"/>
          <w:sz w:val="24"/>
          <w:szCs w:val="24"/>
        </w:rPr>
      </w:pPr>
    </w:p>
    <w:p w14:paraId="01C16AF5" w14:textId="3C87D63A" w:rsidR="00152FC0" w:rsidRPr="00F21FF2" w:rsidRDefault="007D09EC" w:rsidP="00F21FF2">
      <w:pPr>
        <w:pBdr>
          <w:top w:val="nil"/>
          <w:left w:val="nil"/>
          <w:bottom w:val="nil"/>
          <w:right w:val="nil"/>
          <w:between w:val="nil"/>
        </w:pBdr>
        <w:tabs>
          <w:tab w:val="left" w:pos="5670"/>
        </w:tabs>
        <w:jc w:val="center"/>
        <w:rPr>
          <w:rFonts w:ascii="Times New Roman" w:eastAsia="Times New Roman" w:hAnsi="Times New Roman" w:cs="Times New Roman"/>
          <w:b/>
          <w:color w:val="000000"/>
          <w:sz w:val="24"/>
          <w:szCs w:val="24"/>
        </w:rPr>
      </w:pPr>
      <w:r w:rsidRPr="00F21FF2">
        <w:rPr>
          <w:rFonts w:ascii="Times New Roman" w:eastAsia="Times New Roman" w:hAnsi="Times New Roman" w:cs="Times New Roman"/>
          <w:b/>
          <w:color w:val="000000"/>
          <w:sz w:val="24"/>
          <w:szCs w:val="24"/>
        </w:rPr>
        <w:t xml:space="preserve">Adopted at the Rome Ministerial Conference on </w:t>
      </w:r>
      <w:r w:rsidR="00F21FF2">
        <w:rPr>
          <w:rFonts w:ascii="Times New Roman" w:eastAsia="Times New Roman" w:hAnsi="Times New Roman" w:cs="Times New Roman"/>
          <w:b/>
          <w:color w:val="000000"/>
          <w:sz w:val="24"/>
          <w:szCs w:val="24"/>
        </w:rPr>
        <w:t xml:space="preserve">19 </w:t>
      </w:r>
      <w:r w:rsidRPr="00F21FF2">
        <w:rPr>
          <w:rFonts w:ascii="Times New Roman" w:eastAsia="Times New Roman" w:hAnsi="Times New Roman" w:cs="Times New Roman"/>
          <w:b/>
          <w:color w:val="000000"/>
          <w:sz w:val="24"/>
          <w:szCs w:val="24"/>
        </w:rPr>
        <w:t>November 2020 as the Annex II to the Rome Ministerial Communique</w:t>
      </w:r>
      <w:r w:rsidR="00F21FF2">
        <w:rPr>
          <w:rStyle w:val="FootnoteReference"/>
          <w:rFonts w:ascii="Times New Roman" w:eastAsia="Times New Roman" w:hAnsi="Times New Roman" w:cs="Times New Roman"/>
          <w:b/>
          <w:color w:val="000000"/>
          <w:sz w:val="24"/>
          <w:szCs w:val="24"/>
        </w:rPr>
        <w:footnoteReference w:id="1"/>
      </w:r>
    </w:p>
    <w:p w14:paraId="56979E09" w14:textId="77777777" w:rsidR="007D09EC" w:rsidRDefault="007D09EC" w:rsidP="001B5879">
      <w:pPr>
        <w:pBdr>
          <w:top w:val="nil"/>
          <w:left w:val="nil"/>
          <w:bottom w:val="nil"/>
          <w:right w:val="nil"/>
          <w:between w:val="nil"/>
        </w:pBdr>
        <w:tabs>
          <w:tab w:val="left" w:pos="5670"/>
        </w:tabs>
        <w:rPr>
          <w:rFonts w:ascii="Times New Roman" w:eastAsia="Times New Roman" w:hAnsi="Times New Roman" w:cs="Times New Roman"/>
          <w:b/>
          <w:color w:val="000000"/>
          <w:sz w:val="28"/>
          <w:szCs w:val="28"/>
        </w:rPr>
      </w:pPr>
    </w:p>
    <w:p w14:paraId="7430FACA" w14:textId="442803B5" w:rsidR="00152FC0" w:rsidRDefault="0080179B">
      <w:pPr>
        <w:pBdr>
          <w:top w:val="nil"/>
          <w:left w:val="nil"/>
          <w:bottom w:val="nil"/>
          <w:right w:val="nil"/>
          <w:between w:val="nil"/>
        </w:pBdr>
        <w:tabs>
          <w:tab w:val="left" w:pos="5670"/>
        </w:tabs>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p>
    <w:p w14:paraId="4E232127" w14:textId="77777777" w:rsidR="001B5879" w:rsidRDefault="001B5879">
      <w:pPr>
        <w:pBdr>
          <w:top w:val="nil"/>
          <w:left w:val="nil"/>
          <w:bottom w:val="nil"/>
          <w:right w:val="nil"/>
          <w:between w:val="nil"/>
        </w:pBdr>
        <w:tabs>
          <w:tab w:val="left" w:pos="5670"/>
        </w:tabs>
        <w:ind w:left="720"/>
        <w:jc w:val="center"/>
        <w:rPr>
          <w:rFonts w:ascii="Times New Roman" w:eastAsia="Times New Roman" w:hAnsi="Times New Roman" w:cs="Times New Roman"/>
          <w:b/>
          <w:color w:val="000000"/>
          <w:sz w:val="28"/>
          <w:szCs w:val="28"/>
        </w:rPr>
      </w:pPr>
    </w:p>
    <w:p w14:paraId="161203A9" w14:textId="526D34AB" w:rsidR="00152FC0" w:rsidRPr="008F21C5" w:rsidRDefault="0080179B">
      <w:pPr>
        <w:jc w:val="center"/>
        <w:rPr>
          <w:rFonts w:ascii="Times New Roman" w:eastAsia="Times New Roman" w:hAnsi="Times New Roman" w:cs="Times New Roman"/>
          <w:b/>
          <w:color w:val="000000"/>
          <w:sz w:val="32"/>
          <w:szCs w:val="32"/>
        </w:rPr>
      </w:pPr>
      <w:r w:rsidRPr="008F21C5">
        <w:rPr>
          <w:rFonts w:ascii="Times New Roman" w:eastAsia="Times New Roman" w:hAnsi="Times New Roman" w:cs="Times New Roman"/>
          <w:b/>
          <w:color w:val="000000"/>
          <w:sz w:val="32"/>
          <w:szCs w:val="32"/>
        </w:rPr>
        <w:t>Proposal of indicators</w:t>
      </w:r>
      <w:r w:rsidR="007868F1">
        <w:rPr>
          <w:rFonts w:ascii="Times New Roman" w:eastAsia="Times New Roman" w:hAnsi="Times New Roman" w:cs="Times New Roman"/>
          <w:b/>
          <w:color w:val="000000"/>
          <w:sz w:val="32"/>
          <w:szCs w:val="32"/>
        </w:rPr>
        <w:t xml:space="preserve"> for Principles and Guidelines</w:t>
      </w:r>
    </w:p>
    <w:p w14:paraId="4C232091" w14:textId="75AC10AE" w:rsidR="00152FC0" w:rsidRDefault="0080179B">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Produced by the BFUG Working Group on Social Dimension</w:t>
      </w:r>
    </w:p>
    <w:p w14:paraId="6508CDFB" w14:textId="25692EBA" w:rsidR="006052E0" w:rsidRDefault="002537D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November</w:t>
      </w:r>
      <w:r w:rsidR="00594357">
        <w:rPr>
          <w:rFonts w:ascii="Times New Roman" w:eastAsia="Times New Roman" w:hAnsi="Times New Roman" w:cs="Times New Roman"/>
          <w:b/>
          <w:color w:val="000000"/>
          <w:sz w:val="24"/>
          <w:szCs w:val="24"/>
        </w:rPr>
        <w:t xml:space="preserve"> 2022</w:t>
      </w:r>
    </w:p>
    <w:p w14:paraId="32F04845" w14:textId="47113CF5" w:rsidR="006F6176" w:rsidRDefault="006F6176">
      <w:pPr>
        <w:jc w:val="center"/>
        <w:rPr>
          <w:rFonts w:ascii="Times New Roman" w:eastAsia="Times New Roman" w:hAnsi="Times New Roman" w:cs="Times New Roman"/>
          <w:b/>
          <w:color w:val="000000"/>
          <w:sz w:val="24"/>
          <w:szCs w:val="24"/>
        </w:rPr>
      </w:pPr>
    </w:p>
    <w:p w14:paraId="6DD8B747" w14:textId="19950A15" w:rsidR="006F6176" w:rsidRDefault="006F6176">
      <w:pPr>
        <w:jc w:val="center"/>
        <w:rPr>
          <w:rFonts w:ascii="Times New Roman" w:eastAsia="Times New Roman" w:hAnsi="Times New Roman" w:cs="Times New Roman"/>
          <w:bCs/>
          <w:color w:val="000000"/>
          <w:sz w:val="24"/>
          <w:szCs w:val="24"/>
        </w:rPr>
      </w:pPr>
      <w:r w:rsidRPr="006F6176">
        <w:rPr>
          <w:rFonts w:ascii="Times New Roman" w:eastAsia="Times New Roman" w:hAnsi="Times New Roman" w:cs="Times New Roman"/>
          <w:bCs/>
          <w:color w:val="000000"/>
          <w:sz w:val="24"/>
          <w:szCs w:val="24"/>
        </w:rPr>
        <w:t xml:space="preserve">Prepared and edited by Co-Chairs Ninoslav Šćukanec Schmidt (Croatia) and </w:t>
      </w:r>
    </w:p>
    <w:p w14:paraId="7B5C5E30" w14:textId="5BB29A5D" w:rsidR="006F6176" w:rsidRPr="006F6176" w:rsidRDefault="006F6176">
      <w:pPr>
        <w:jc w:val="center"/>
        <w:rPr>
          <w:rFonts w:ascii="Times New Roman" w:eastAsia="Times New Roman" w:hAnsi="Times New Roman" w:cs="Times New Roman"/>
          <w:bCs/>
          <w:color w:val="000000"/>
          <w:sz w:val="24"/>
          <w:szCs w:val="24"/>
        </w:rPr>
      </w:pPr>
      <w:r w:rsidRPr="006F6176">
        <w:rPr>
          <w:rFonts w:ascii="Times New Roman" w:eastAsia="Times New Roman" w:hAnsi="Times New Roman" w:cs="Times New Roman"/>
          <w:bCs/>
          <w:color w:val="000000"/>
          <w:sz w:val="24"/>
          <w:szCs w:val="24"/>
        </w:rPr>
        <w:t>Horia Onita (European Students’ Union)</w:t>
      </w:r>
    </w:p>
    <w:p w14:paraId="5F2A235D" w14:textId="77777777" w:rsidR="007868F1" w:rsidRDefault="007868F1">
      <w:pPr>
        <w:rPr>
          <w:rFonts w:ascii="Times New Roman" w:eastAsia="Times New Roman" w:hAnsi="Times New Roman" w:cs="Times New Roman"/>
          <w:b/>
          <w:color w:val="000000"/>
          <w:sz w:val="28"/>
          <w:szCs w:val="28"/>
        </w:rPr>
      </w:pPr>
    </w:p>
    <w:p w14:paraId="21E32F06" w14:textId="77777777" w:rsidR="001B5879" w:rsidRDefault="001B5879">
      <w:pPr>
        <w:rPr>
          <w:rFonts w:ascii="Times New Roman" w:eastAsia="Times New Roman" w:hAnsi="Times New Roman" w:cs="Times New Roman"/>
          <w:b/>
          <w:color w:val="000000"/>
          <w:sz w:val="28"/>
          <w:szCs w:val="28"/>
        </w:rPr>
      </w:pPr>
    </w:p>
    <w:p w14:paraId="5E9C8420" w14:textId="64524B84" w:rsidR="001B5879" w:rsidRDefault="001B5879">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Foreword</w:t>
      </w:r>
    </w:p>
    <w:p w14:paraId="65231072" w14:textId="77C55A11" w:rsidR="001B5879" w:rsidRDefault="001B5879">
      <w:pPr>
        <w:rPr>
          <w:rFonts w:ascii="Times New Roman" w:eastAsia="Times New Roman" w:hAnsi="Times New Roman" w:cs="Times New Roman"/>
          <w:bCs/>
          <w:color w:val="000000"/>
        </w:rPr>
      </w:pPr>
    </w:p>
    <w:p w14:paraId="691D42F2" w14:textId="3007C155" w:rsidR="00FB5C59" w:rsidRDefault="00FB5C59" w:rsidP="008312F8">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strategic document </w:t>
      </w:r>
      <w:r w:rsidRPr="00FB5C59">
        <w:rPr>
          <w:rFonts w:ascii="Times New Roman" w:eastAsia="Times New Roman" w:hAnsi="Times New Roman" w:cs="Times New Roman"/>
          <w:bCs/>
          <w:color w:val="000000"/>
        </w:rPr>
        <w:t>“Principles and Guidelines to Strengthen the Social Dimension of Higher Education in the EHEA”</w:t>
      </w:r>
      <w:r>
        <w:rPr>
          <w:rFonts w:ascii="Times New Roman" w:eastAsia="Times New Roman" w:hAnsi="Times New Roman" w:cs="Times New Roman"/>
          <w:bCs/>
          <w:color w:val="000000"/>
        </w:rPr>
        <w:t xml:space="preserve"> was adopted as the Annex II to the 2020 Rome Ministerial Communique. Based on the Rome Communique, the 2021-2024 Terms of Reference for the </w:t>
      </w:r>
      <w:r w:rsidR="007619D0">
        <w:rPr>
          <w:rFonts w:ascii="Times New Roman" w:eastAsia="Times New Roman" w:hAnsi="Times New Roman" w:cs="Times New Roman"/>
          <w:bCs/>
          <w:color w:val="000000"/>
        </w:rPr>
        <w:t xml:space="preserve">BFUG </w:t>
      </w:r>
      <w:r>
        <w:rPr>
          <w:rFonts w:ascii="Times New Roman" w:eastAsia="Times New Roman" w:hAnsi="Times New Roman" w:cs="Times New Roman"/>
          <w:bCs/>
          <w:color w:val="000000"/>
        </w:rPr>
        <w:t xml:space="preserve">Working Group on Social Dimension was created. The Terms of Reference contain </w:t>
      </w:r>
      <w:r w:rsidR="00C94FEE">
        <w:rPr>
          <w:rFonts w:ascii="Times New Roman" w:eastAsia="Times New Roman" w:hAnsi="Times New Roman" w:cs="Times New Roman"/>
          <w:bCs/>
          <w:color w:val="000000"/>
        </w:rPr>
        <w:t xml:space="preserve">the objective “defining </w:t>
      </w:r>
      <w:r w:rsidR="00C94FEE" w:rsidRPr="00FB5C59">
        <w:rPr>
          <w:rFonts w:ascii="Times New Roman" w:eastAsia="Times New Roman" w:hAnsi="Times New Roman" w:cs="Times New Roman"/>
          <w:bCs/>
          <w:color w:val="000000"/>
        </w:rPr>
        <w:t>indicators and benchmarks for the principles included in the Principles and Guidelines to Strengthen the Social Dimension of Higher Education in the EHEA</w:t>
      </w:r>
      <w:r w:rsidR="00C94FEE">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for the </w:t>
      </w:r>
      <w:r w:rsidR="007619D0">
        <w:rPr>
          <w:rFonts w:ascii="Times New Roman" w:eastAsia="Times New Roman" w:hAnsi="Times New Roman" w:cs="Times New Roman"/>
          <w:bCs/>
          <w:color w:val="000000"/>
        </w:rPr>
        <w:t xml:space="preserve">BFUG </w:t>
      </w:r>
      <w:r>
        <w:rPr>
          <w:rFonts w:ascii="Times New Roman" w:eastAsia="Times New Roman" w:hAnsi="Times New Roman" w:cs="Times New Roman"/>
          <w:bCs/>
          <w:color w:val="000000"/>
        </w:rPr>
        <w:t>Working Group on Social Dimension for the period 2021-2024.</w:t>
      </w:r>
    </w:p>
    <w:p w14:paraId="014B125A" w14:textId="380BA81D" w:rsidR="00A64D4E" w:rsidRDefault="00A64D4E" w:rsidP="008312F8">
      <w:pPr>
        <w:jc w:val="both"/>
        <w:rPr>
          <w:rFonts w:ascii="Times New Roman" w:eastAsia="Times New Roman" w:hAnsi="Times New Roman" w:cs="Times New Roman"/>
          <w:bCs/>
          <w:color w:val="000000"/>
        </w:rPr>
      </w:pPr>
    </w:p>
    <w:p w14:paraId="323D3AD3" w14:textId="59CF2FF6" w:rsidR="00A64D4E" w:rsidRDefault="00A64D4E" w:rsidP="008312F8">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BFUG Working Group on Social Dimension </w:t>
      </w:r>
      <w:r w:rsidR="00C94FEE">
        <w:rPr>
          <w:rFonts w:ascii="Times New Roman" w:eastAsia="Times New Roman" w:hAnsi="Times New Roman" w:cs="Times New Roman"/>
          <w:bCs/>
          <w:color w:val="000000"/>
        </w:rPr>
        <w:t>worked</w:t>
      </w:r>
      <w:r>
        <w:rPr>
          <w:rFonts w:ascii="Times New Roman" w:eastAsia="Times New Roman" w:hAnsi="Times New Roman" w:cs="Times New Roman"/>
          <w:bCs/>
          <w:color w:val="000000"/>
        </w:rPr>
        <w:t xml:space="preserve"> on indicators for the principles </w:t>
      </w:r>
      <w:r w:rsidR="007619D0">
        <w:rPr>
          <w:rFonts w:ascii="Times New Roman" w:eastAsia="Times New Roman" w:hAnsi="Times New Roman" w:cs="Times New Roman"/>
          <w:bCs/>
          <w:color w:val="000000"/>
        </w:rPr>
        <w:t>of</w:t>
      </w:r>
      <w:r>
        <w:rPr>
          <w:rFonts w:ascii="Times New Roman" w:eastAsia="Times New Roman" w:hAnsi="Times New Roman" w:cs="Times New Roman"/>
          <w:bCs/>
          <w:color w:val="000000"/>
        </w:rPr>
        <w:t xml:space="preserve"> social dimension in higher education in the period 2021-2022. This document contains the final proposal of indicators that should be adopted by the BFUG until 2024. Each of the ten principles below contains two to six indicators (marked in bold). Each indicator contains several explanatory descriptors that provide more information on how an indicator could be implemented</w:t>
      </w:r>
      <w:r w:rsidR="007619D0">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(listed in bullet points). </w:t>
      </w:r>
    </w:p>
    <w:p w14:paraId="7F644553" w14:textId="44C47E48" w:rsidR="007B6715" w:rsidRDefault="007B6715" w:rsidP="008312F8">
      <w:pPr>
        <w:jc w:val="both"/>
        <w:rPr>
          <w:rFonts w:ascii="Times New Roman" w:eastAsia="Times New Roman" w:hAnsi="Times New Roman" w:cs="Times New Roman"/>
          <w:bCs/>
          <w:color w:val="000000"/>
        </w:rPr>
      </w:pPr>
    </w:p>
    <w:p w14:paraId="412D772F" w14:textId="58537973" w:rsidR="007B6715" w:rsidRPr="00FB5C59" w:rsidRDefault="00B70022" w:rsidP="008312F8">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During 2021-2022, i</w:t>
      </w:r>
      <w:r w:rsidR="007B6715">
        <w:rPr>
          <w:rFonts w:ascii="Times New Roman" w:eastAsia="Times New Roman" w:hAnsi="Times New Roman" w:cs="Times New Roman"/>
          <w:bCs/>
          <w:color w:val="000000"/>
        </w:rPr>
        <w:t xml:space="preserve">n parallel with the work of the </w:t>
      </w:r>
      <w:r w:rsidR="00357D39">
        <w:rPr>
          <w:rFonts w:ascii="Times New Roman" w:eastAsia="Times New Roman" w:hAnsi="Times New Roman" w:cs="Times New Roman"/>
          <w:bCs/>
          <w:color w:val="000000"/>
        </w:rPr>
        <w:t>BFUG Working Group on Social Dimension, the European Commission/</w:t>
      </w:r>
      <w:r w:rsidR="00357D39" w:rsidRPr="00357D39">
        <w:rPr>
          <w:rFonts w:ascii="Times New Roman" w:eastAsia="Times New Roman" w:hAnsi="Times New Roman" w:cs="Times New Roman"/>
          <w:bCs/>
          <w:color w:val="000000"/>
        </w:rPr>
        <w:t xml:space="preserve"> EACEA/Eurydice</w:t>
      </w:r>
      <w:r w:rsidR="00357D39">
        <w:rPr>
          <w:rFonts w:ascii="Times New Roman" w:eastAsia="Times New Roman" w:hAnsi="Times New Roman" w:cs="Times New Roman"/>
          <w:bCs/>
          <w:color w:val="000000"/>
        </w:rPr>
        <w:t xml:space="preserve"> </w:t>
      </w:r>
      <w:r w:rsidR="00C94FEE">
        <w:rPr>
          <w:rFonts w:ascii="Times New Roman" w:eastAsia="Times New Roman" w:hAnsi="Times New Roman" w:cs="Times New Roman"/>
          <w:bCs/>
          <w:color w:val="000000"/>
        </w:rPr>
        <w:t>developed</w:t>
      </w:r>
      <w:r w:rsidR="00357D39">
        <w:rPr>
          <w:rFonts w:ascii="Times New Roman" w:eastAsia="Times New Roman" w:hAnsi="Times New Roman" w:cs="Times New Roman"/>
          <w:bCs/>
          <w:color w:val="000000"/>
        </w:rPr>
        <w:t xml:space="preserve"> indicators for </w:t>
      </w:r>
      <w:r w:rsidR="007619D0">
        <w:rPr>
          <w:rFonts w:ascii="Times New Roman" w:eastAsia="Times New Roman" w:hAnsi="Times New Roman" w:cs="Times New Roman"/>
          <w:bCs/>
          <w:color w:val="000000"/>
        </w:rPr>
        <w:t xml:space="preserve">the </w:t>
      </w:r>
      <w:r w:rsidR="00357D39">
        <w:rPr>
          <w:rFonts w:ascii="Times New Roman" w:eastAsia="Times New Roman" w:hAnsi="Times New Roman" w:cs="Times New Roman"/>
          <w:bCs/>
          <w:color w:val="000000"/>
        </w:rPr>
        <w:t xml:space="preserve">principles of social dimension, the survey for collecting data on the implementation of principles in the Eurydice’s partner countries and the system of monitoring the implementation of these principles. The BFUG Working Group on Social Dimension and Eurydice </w:t>
      </w:r>
      <w:r w:rsidR="00C94FEE">
        <w:rPr>
          <w:rFonts w:ascii="Times New Roman" w:eastAsia="Times New Roman" w:hAnsi="Times New Roman" w:cs="Times New Roman"/>
          <w:bCs/>
          <w:color w:val="000000"/>
        </w:rPr>
        <w:t xml:space="preserve">cooperated </w:t>
      </w:r>
      <w:r w:rsidR="00357D39">
        <w:rPr>
          <w:rFonts w:ascii="Times New Roman" w:eastAsia="Times New Roman" w:hAnsi="Times New Roman" w:cs="Times New Roman"/>
          <w:bCs/>
          <w:color w:val="000000"/>
        </w:rPr>
        <w:t>closely on the above activities. The final outcome of Eurydice’s work is the publication “</w:t>
      </w:r>
      <w:r w:rsidR="00357D39" w:rsidRPr="00357D39">
        <w:rPr>
          <w:rFonts w:ascii="Times New Roman" w:eastAsia="Times New Roman" w:hAnsi="Times New Roman" w:cs="Times New Roman"/>
          <w:bCs/>
          <w:color w:val="000000"/>
        </w:rPr>
        <w:t>Towards equity and inclusion in higher education in Europe</w:t>
      </w:r>
      <w:r w:rsidR="00357D39">
        <w:rPr>
          <w:rFonts w:ascii="Times New Roman" w:eastAsia="Times New Roman" w:hAnsi="Times New Roman" w:cs="Times New Roman"/>
          <w:bCs/>
          <w:color w:val="000000"/>
        </w:rPr>
        <w:t>”</w:t>
      </w:r>
      <w:r w:rsidR="00864603">
        <w:rPr>
          <w:rStyle w:val="FootnoteReference"/>
          <w:rFonts w:ascii="Times New Roman" w:eastAsia="Times New Roman" w:hAnsi="Times New Roman" w:cs="Times New Roman"/>
          <w:bCs/>
          <w:color w:val="000000"/>
        </w:rPr>
        <w:footnoteReference w:id="2"/>
      </w:r>
      <w:r w:rsidR="00357D39">
        <w:rPr>
          <w:rFonts w:ascii="Times New Roman" w:eastAsia="Times New Roman" w:hAnsi="Times New Roman" w:cs="Times New Roman"/>
          <w:bCs/>
          <w:color w:val="000000"/>
        </w:rPr>
        <w:t xml:space="preserve"> </w:t>
      </w:r>
      <w:r w:rsidR="00864603">
        <w:rPr>
          <w:rFonts w:ascii="Times New Roman" w:eastAsia="Times New Roman" w:hAnsi="Times New Roman" w:cs="Times New Roman"/>
          <w:bCs/>
          <w:color w:val="000000"/>
        </w:rPr>
        <w:t>released</w:t>
      </w:r>
      <w:r w:rsidR="00357D39">
        <w:rPr>
          <w:rFonts w:ascii="Times New Roman" w:eastAsia="Times New Roman" w:hAnsi="Times New Roman" w:cs="Times New Roman"/>
          <w:bCs/>
          <w:color w:val="000000"/>
        </w:rPr>
        <w:t xml:space="preserve"> in </w:t>
      </w:r>
      <w:r w:rsidR="00864603">
        <w:rPr>
          <w:rFonts w:ascii="Times New Roman" w:eastAsia="Times New Roman" w:hAnsi="Times New Roman" w:cs="Times New Roman"/>
          <w:bCs/>
          <w:color w:val="000000"/>
        </w:rPr>
        <w:t xml:space="preserve">the first half of 2022. It contains an overview of the indicators and the implementation of principles for social dimension in higher education in Eurydice’s partner countries. </w:t>
      </w:r>
    </w:p>
    <w:p w14:paraId="36199750" w14:textId="49B829A5" w:rsidR="00FB5C59" w:rsidRDefault="00FB5C59">
      <w:pPr>
        <w:rPr>
          <w:rFonts w:ascii="Times New Roman" w:eastAsia="Times New Roman" w:hAnsi="Times New Roman" w:cs="Times New Roman"/>
          <w:bCs/>
          <w:color w:val="000000"/>
        </w:rPr>
      </w:pPr>
    </w:p>
    <w:p w14:paraId="392282D2" w14:textId="0945D5B2" w:rsidR="00357D39" w:rsidRDefault="00864603" w:rsidP="008312F8">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 xml:space="preserve">The BFUG Working Group on Social Dimension and Eurydice have agreed that the </w:t>
      </w:r>
      <w:r w:rsidR="007619D0">
        <w:rPr>
          <w:rFonts w:ascii="Times New Roman" w:eastAsia="Times New Roman" w:hAnsi="Times New Roman" w:cs="Times New Roman"/>
          <w:bCs/>
          <w:color w:val="000000"/>
        </w:rPr>
        <w:t xml:space="preserve">BFUG </w:t>
      </w:r>
      <w:r>
        <w:rPr>
          <w:rFonts w:ascii="Times New Roman" w:eastAsia="Times New Roman" w:hAnsi="Times New Roman" w:cs="Times New Roman"/>
          <w:bCs/>
          <w:color w:val="000000"/>
        </w:rPr>
        <w:t>Working Group on Social Dimension will adopt most of the indicators created by Eurydice</w:t>
      </w:r>
      <w:r w:rsidR="004577B0">
        <w:rPr>
          <w:rFonts w:ascii="Times New Roman" w:eastAsia="Times New Roman" w:hAnsi="Times New Roman" w:cs="Times New Roman"/>
          <w:bCs/>
          <w:color w:val="000000"/>
        </w:rPr>
        <w:t xml:space="preserve">. Therefore the indicators listed below contain citations related to Eurydice whenever </w:t>
      </w:r>
      <w:r w:rsidR="00417683">
        <w:rPr>
          <w:rFonts w:ascii="Times New Roman" w:eastAsia="Times New Roman" w:hAnsi="Times New Roman" w:cs="Times New Roman"/>
          <w:bCs/>
          <w:color w:val="000000"/>
        </w:rPr>
        <w:t xml:space="preserve">the </w:t>
      </w:r>
      <w:r w:rsidR="004577B0">
        <w:rPr>
          <w:rFonts w:ascii="Times New Roman" w:eastAsia="Times New Roman" w:hAnsi="Times New Roman" w:cs="Times New Roman"/>
          <w:bCs/>
          <w:color w:val="000000"/>
        </w:rPr>
        <w:t xml:space="preserve">indicator takes </w:t>
      </w:r>
      <w:r w:rsidR="00C94FEE">
        <w:rPr>
          <w:rFonts w:ascii="Times New Roman" w:eastAsia="Times New Roman" w:hAnsi="Times New Roman" w:cs="Times New Roman"/>
          <w:bCs/>
          <w:color w:val="000000"/>
        </w:rPr>
        <w:t xml:space="preserve">its </w:t>
      </w:r>
      <w:r w:rsidR="004577B0">
        <w:rPr>
          <w:rFonts w:ascii="Times New Roman" w:eastAsia="Times New Roman" w:hAnsi="Times New Roman" w:cs="Times New Roman"/>
          <w:bCs/>
          <w:color w:val="000000"/>
        </w:rPr>
        <w:t xml:space="preserve">main elements from Eurydice. The </w:t>
      </w:r>
      <w:r w:rsidR="00417683">
        <w:rPr>
          <w:rFonts w:ascii="Times New Roman" w:eastAsia="Times New Roman" w:hAnsi="Times New Roman" w:cs="Times New Roman"/>
          <w:bCs/>
          <w:color w:val="000000"/>
        </w:rPr>
        <w:t xml:space="preserve">specific contribution </w:t>
      </w:r>
      <w:r w:rsidR="004577B0">
        <w:rPr>
          <w:rFonts w:ascii="Times New Roman" w:eastAsia="Times New Roman" w:hAnsi="Times New Roman" w:cs="Times New Roman"/>
          <w:bCs/>
          <w:color w:val="000000"/>
        </w:rPr>
        <w:t xml:space="preserve">of the </w:t>
      </w:r>
      <w:r w:rsidR="00B70022">
        <w:rPr>
          <w:rFonts w:ascii="Times New Roman" w:eastAsia="Times New Roman" w:hAnsi="Times New Roman" w:cs="Times New Roman"/>
          <w:bCs/>
          <w:color w:val="000000"/>
        </w:rPr>
        <w:t xml:space="preserve">BFUG </w:t>
      </w:r>
      <w:r w:rsidR="004577B0">
        <w:rPr>
          <w:rFonts w:ascii="Times New Roman" w:eastAsia="Times New Roman" w:hAnsi="Times New Roman" w:cs="Times New Roman"/>
          <w:bCs/>
          <w:color w:val="000000"/>
        </w:rPr>
        <w:t xml:space="preserve">Working Group on Social Dimension is that it has created </w:t>
      </w:r>
      <w:r w:rsidR="007619D0">
        <w:rPr>
          <w:rFonts w:ascii="Times New Roman" w:eastAsia="Times New Roman" w:hAnsi="Times New Roman" w:cs="Times New Roman"/>
          <w:bCs/>
          <w:color w:val="000000"/>
        </w:rPr>
        <w:t xml:space="preserve">additional </w:t>
      </w:r>
      <w:r w:rsidR="004577B0">
        <w:rPr>
          <w:rFonts w:ascii="Times New Roman" w:eastAsia="Times New Roman" w:hAnsi="Times New Roman" w:cs="Times New Roman"/>
          <w:bCs/>
          <w:color w:val="000000"/>
        </w:rPr>
        <w:t xml:space="preserve">explanatory descriptors for each indicator that provide more information on how an indicator could be implemented. </w:t>
      </w:r>
    </w:p>
    <w:p w14:paraId="796EC99F" w14:textId="2A39D1C6" w:rsidR="004577B0" w:rsidRDefault="004577B0">
      <w:pPr>
        <w:rPr>
          <w:rFonts w:ascii="Times New Roman" w:eastAsia="Times New Roman" w:hAnsi="Times New Roman" w:cs="Times New Roman"/>
          <w:bCs/>
          <w:color w:val="000000"/>
        </w:rPr>
      </w:pPr>
    </w:p>
    <w:p w14:paraId="5399B40C" w14:textId="77777777" w:rsidR="001B5879" w:rsidRPr="00FB5C59" w:rsidRDefault="001B5879">
      <w:pPr>
        <w:rPr>
          <w:rFonts w:ascii="Times New Roman" w:eastAsia="Times New Roman" w:hAnsi="Times New Roman" w:cs="Times New Roman"/>
          <w:bCs/>
          <w:color w:val="000000"/>
        </w:rPr>
      </w:pPr>
    </w:p>
    <w:p w14:paraId="4BBB5054" w14:textId="4A9D0939" w:rsidR="00152FC0" w:rsidRDefault="007868F1">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Introduction</w:t>
      </w:r>
      <w:r w:rsidR="001B5879">
        <w:rPr>
          <w:rStyle w:val="FootnoteReference"/>
          <w:rFonts w:ascii="Times New Roman" w:eastAsia="Times New Roman" w:hAnsi="Times New Roman" w:cs="Times New Roman"/>
          <w:b/>
          <w:color w:val="000000"/>
          <w:sz w:val="28"/>
          <w:szCs w:val="28"/>
        </w:rPr>
        <w:footnoteReference w:id="3"/>
      </w:r>
    </w:p>
    <w:p w14:paraId="7DCE8FF3" w14:textId="1B233222" w:rsidR="007868F1" w:rsidRDefault="007868F1">
      <w:pPr>
        <w:rPr>
          <w:rFonts w:ascii="Times New Roman" w:eastAsia="Times New Roman" w:hAnsi="Times New Roman" w:cs="Times New Roman"/>
          <w:b/>
          <w:color w:val="000000"/>
          <w:sz w:val="28"/>
          <w:szCs w:val="28"/>
        </w:rPr>
      </w:pPr>
    </w:p>
    <w:p w14:paraId="313FC16D" w14:textId="5289265C" w:rsidR="00792E57" w:rsidRPr="00CA36A7" w:rsidRDefault="00792E57" w:rsidP="00792E57">
      <w:pPr>
        <w:jc w:val="both"/>
        <w:rPr>
          <w:rFonts w:ascii="Times New Roman" w:eastAsia="Times New Roman" w:hAnsi="Times New Roman" w:cs="Times New Roman"/>
        </w:rPr>
      </w:pPr>
      <w:r w:rsidRPr="00CA36A7">
        <w:rPr>
          <w:rFonts w:ascii="Times New Roman" w:eastAsia="Times New Roman" w:hAnsi="Times New Roman" w:cs="Times New Roman"/>
        </w:rPr>
        <w:t xml:space="preserve">The 2018 Paris Communique recognized the need to guide member states on how to define and implement policy for improving the social dimension of the EHEA. This document outlines core principles and guidelines, which we believe are fundamental to the further development of the social dimension in higher education. This document takes as its starting point the definition of the social dimension provided in the </w:t>
      </w:r>
      <w:r w:rsidRPr="00792E57">
        <w:rPr>
          <w:rFonts w:ascii="Times New Roman" w:eastAsia="Times New Roman" w:hAnsi="Times New Roman" w:cs="Times New Roman"/>
          <w:sz w:val="20"/>
        </w:rPr>
        <w:t xml:space="preserve">2007 London </w:t>
      </w:r>
      <w:r w:rsidRPr="00792E57">
        <w:rPr>
          <w:rFonts w:ascii="Times New Roman" w:eastAsia="Times New Roman" w:hAnsi="Times New Roman" w:cs="Times New Roman"/>
        </w:rPr>
        <w:t xml:space="preserve">Communique, namely that </w:t>
      </w:r>
      <w:r w:rsidRPr="00CA36A7">
        <w:rPr>
          <w:rFonts w:ascii="Times New Roman" w:eastAsia="Times New Roman" w:hAnsi="Times New Roman" w:cs="Times New Roman"/>
        </w:rPr>
        <w:t>the composition of the student body entering, participating in and completing higher education at all levels should correspond to the heterogeneous social profile of society at large in the EHEA countries. The Advisory Group for Social Dimension also goes beyond the before mentioned definition and has enlarged the definition by stressing that the social dimension encompasses creation of inclusive environment in higher education that fosters equity, diversity, and is responsive to the needs of local communities.</w:t>
      </w:r>
    </w:p>
    <w:p w14:paraId="75EC525A" w14:textId="77777777" w:rsidR="00792E57" w:rsidRPr="00CA36A7" w:rsidRDefault="00792E57" w:rsidP="00792E57">
      <w:pPr>
        <w:jc w:val="both"/>
        <w:rPr>
          <w:rFonts w:ascii="Times New Roman" w:eastAsia="Times New Roman" w:hAnsi="Times New Roman" w:cs="Times New Roman"/>
        </w:rPr>
      </w:pPr>
    </w:p>
    <w:p w14:paraId="06204C25" w14:textId="77777777" w:rsidR="00792E57" w:rsidRPr="00CA36A7" w:rsidRDefault="00792E57" w:rsidP="00792E57">
      <w:pPr>
        <w:jc w:val="both"/>
        <w:rPr>
          <w:rFonts w:ascii="Times New Roman" w:eastAsia="Times New Roman" w:hAnsi="Times New Roman" w:cs="Times New Roman"/>
          <w:color w:val="222222"/>
        </w:rPr>
      </w:pPr>
      <w:r w:rsidRPr="00CA36A7">
        <w:rPr>
          <w:rFonts w:ascii="Times New Roman" w:eastAsia="Times New Roman" w:hAnsi="Times New Roman" w:cs="Times New Roman"/>
          <w:color w:val="222222"/>
        </w:rPr>
        <w:t xml:space="preserve">The principles and </w:t>
      </w:r>
      <w:r w:rsidRPr="00CA36A7">
        <w:rPr>
          <w:rFonts w:ascii="Times New Roman" w:eastAsia="Times New Roman" w:hAnsi="Times New Roman" w:cs="Times New Roman"/>
        </w:rPr>
        <w:t xml:space="preserve">guidelines within this document complement </w:t>
      </w:r>
      <w:r w:rsidRPr="00CA36A7">
        <w:rPr>
          <w:rFonts w:ascii="Times New Roman" w:eastAsia="Times New Roman" w:hAnsi="Times New Roman" w:cs="Times New Roman"/>
          <w:color w:val="222222"/>
        </w:rPr>
        <w:t xml:space="preserve">the EHEA 2020 strategy </w:t>
      </w:r>
      <w:r w:rsidRPr="00CA36A7">
        <w:rPr>
          <w:rFonts w:ascii="Times New Roman" w:eastAsia="Times New Roman" w:hAnsi="Times New Roman" w:cs="Times New Roman"/>
        </w:rPr>
        <w:t>“</w:t>
      </w:r>
      <w:hyperlink r:id="rId9" w:history="1">
        <w:r w:rsidRPr="00CA36A7">
          <w:rPr>
            <w:rFonts w:ascii="Times New Roman" w:eastAsia="Times New Roman" w:hAnsi="Times New Roman" w:cs="Times New Roman"/>
          </w:rPr>
          <w:t>Widening Participation for Equity and Growth</w:t>
        </w:r>
      </w:hyperlink>
      <w:r w:rsidRPr="00CA36A7">
        <w:rPr>
          <w:rFonts w:ascii="Times New Roman" w:eastAsia="Times New Roman" w:hAnsi="Times New Roman" w:cs="Times New Roman"/>
        </w:rPr>
        <w:t>”</w:t>
      </w:r>
      <w:r w:rsidRPr="00CA36A7">
        <w:rPr>
          <w:rStyle w:val="FootnoteReference"/>
          <w:rFonts w:ascii="Times New Roman" w:eastAsia="Times New Roman" w:hAnsi="Times New Roman" w:cs="Times New Roman"/>
        </w:rPr>
        <w:footnoteReference w:id="4"/>
      </w:r>
      <w:r w:rsidRPr="00CA36A7">
        <w:rPr>
          <w:rFonts w:ascii="Times New Roman" w:eastAsia="Times New Roman" w:hAnsi="Times New Roman" w:cs="Times New Roman"/>
        </w:rPr>
        <w:t xml:space="preserve">, which ministers </w:t>
      </w:r>
      <w:r>
        <w:rPr>
          <w:rFonts w:ascii="Times New Roman" w:eastAsia="Times New Roman" w:hAnsi="Times New Roman" w:cs="Times New Roman"/>
        </w:rPr>
        <w:t>adopted</w:t>
      </w:r>
      <w:r w:rsidRPr="00CA36A7">
        <w:rPr>
          <w:rFonts w:ascii="Times New Roman" w:eastAsia="Times New Roman" w:hAnsi="Times New Roman" w:cs="Times New Roman"/>
        </w:rPr>
        <w:t xml:space="preserve"> in Yerevan in 2015 as a mean to further strengthen the social dimension while concomitantly contributing to</w:t>
      </w:r>
      <w:r w:rsidRPr="00CA36A7">
        <w:rPr>
          <w:rFonts w:ascii="Times New Roman" w:eastAsia="Times New Roman" w:hAnsi="Times New Roman" w:cs="Times New Roman"/>
          <w:color w:val="222222"/>
        </w:rPr>
        <w:t xml:space="preserve"> increasing quality in higher education. The social dimension should interconnect the principles of accessibility, equity, diversity and inclusion into all laws, policies and practices concerning higher education in such a way that access, participation, progress and completion of higher education depend primarily on students’ abilities, not on their personal characteristics or circumstances beyond their direct influence. </w:t>
      </w:r>
      <w:r w:rsidRPr="00CA36A7">
        <w:rPr>
          <w:rFonts w:ascii="Times New Roman" w:eastAsia="Calibri" w:hAnsi="Times New Roman" w:cs="Times New Roman"/>
          <w:color w:val="000000" w:themeColor="text1"/>
        </w:rPr>
        <w:t>With this scope at heart, public authorities should support the implementation of these Principles and Guidelines by offering a legal, financial, administrative and informative framework that can initiate processes of implementation at the local level. This framework will promote inclusive strategies, which provide both specific support for vulnerable, disadvantaged and underrepresented students</w:t>
      </w:r>
      <w:r w:rsidRPr="00CA36A7">
        <w:rPr>
          <w:rStyle w:val="FootnoteReference"/>
          <w:rFonts w:ascii="Times New Roman" w:eastAsia="Calibri" w:hAnsi="Times New Roman" w:cs="Times New Roman"/>
          <w:color w:val="000000" w:themeColor="text1"/>
        </w:rPr>
        <w:footnoteReference w:id="5"/>
      </w:r>
      <w:r w:rsidRPr="00CA36A7">
        <w:rPr>
          <w:rFonts w:ascii="Times New Roman" w:eastAsia="Calibri" w:hAnsi="Times New Roman" w:cs="Times New Roman"/>
          <w:color w:val="000000" w:themeColor="text1"/>
        </w:rPr>
        <w:t xml:space="preserve"> as well as highlight broader measures and policies wherefrom the student population and staff employed at higher education institutions can mutually benefit. </w:t>
      </w:r>
    </w:p>
    <w:p w14:paraId="2015EE40" w14:textId="77777777" w:rsidR="00792E57" w:rsidRPr="00CA36A7" w:rsidRDefault="00792E57" w:rsidP="00792E57">
      <w:pPr>
        <w:jc w:val="both"/>
        <w:rPr>
          <w:rFonts w:ascii="Times New Roman" w:eastAsia="Calibri" w:hAnsi="Times New Roman" w:cs="Times New Roman"/>
          <w:color w:val="000000" w:themeColor="text1"/>
        </w:rPr>
      </w:pPr>
    </w:p>
    <w:p w14:paraId="0461D9AE" w14:textId="77777777" w:rsidR="00792E57" w:rsidRPr="00CA36A7" w:rsidRDefault="00792E57" w:rsidP="00792E57">
      <w:pPr>
        <w:jc w:val="both"/>
        <w:rPr>
          <w:rFonts w:ascii="Times New Roman" w:eastAsia="Calibri" w:hAnsi="Times New Roman" w:cs="Times New Roman"/>
        </w:rPr>
      </w:pPr>
      <w:r w:rsidRPr="00CA36A7">
        <w:rPr>
          <w:rFonts w:ascii="Times New Roman" w:eastAsia="Calibri" w:hAnsi="Times New Roman" w:cs="Times New Roman"/>
        </w:rPr>
        <w:t xml:space="preserve">Increased participation of vulnerable, disadvantaged and underrepresented groups in higher education produces wider benefits with respect to decreased social welfare provision, improved health outcomes and increased community involvement. Collectively, these wider benefits sustain cohesive, democratic societies where social justice, public good, public responsibility and social mobility prevail. Graduate qualifications delivered to a wider pool of citizens means better employment prospects, higher earnings premiums and the passing on of an appreciation for the benefits of higher education to the next generation and to their local communities. Beyond reaching the commitments made by the EHEA, taking a holistic and proactive approach to improving the social dimension of higher education further serves to accelerate progress in attaining the UN Sustainable Development Goals. </w:t>
      </w:r>
    </w:p>
    <w:p w14:paraId="38E8A62D" w14:textId="77777777" w:rsidR="00792E57" w:rsidRPr="00CA36A7" w:rsidRDefault="00792E57" w:rsidP="00792E57">
      <w:pPr>
        <w:jc w:val="both"/>
        <w:rPr>
          <w:rFonts w:ascii="Times New Roman" w:eastAsia="Calibri" w:hAnsi="Times New Roman" w:cs="Times New Roman"/>
        </w:rPr>
      </w:pPr>
    </w:p>
    <w:p w14:paraId="503BEE81" w14:textId="77777777" w:rsidR="00792E57" w:rsidRPr="00CA36A7" w:rsidRDefault="00792E57" w:rsidP="00792E57">
      <w:pPr>
        <w:jc w:val="both"/>
        <w:rPr>
          <w:rFonts w:ascii="Times New Roman" w:eastAsia="Calibri" w:hAnsi="Times New Roman" w:cs="Times New Roman"/>
        </w:rPr>
      </w:pPr>
      <w:r w:rsidRPr="00CA36A7">
        <w:rPr>
          <w:rFonts w:ascii="Times New Roman" w:eastAsia="Calibri" w:hAnsi="Times New Roman" w:cs="Times New Roman"/>
        </w:rPr>
        <w:t xml:space="preserve">These Principles and Guidelines set the course for the next decade of the EHEA for public authorities and higher education institutions to integrate these principles into the core higher education missions: learning and teaching, research, innovation, knowledge exchange and outreach, institutional </w:t>
      </w:r>
      <w:r w:rsidRPr="00CA36A7">
        <w:rPr>
          <w:rFonts w:ascii="Times New Roman" w:eastAsia="Calibri" w:hAnsi="Times New Roman" w:cs="Times New Roman"/>
        </w:rPr>
        <w:lastRenderedPageBreak/>
        <w:t>governance and management, as well as in the policies for empowering present and future students and higher education staff. Improving the social dimension by moving beyond widening accessibility clauses and instead focusing on the concept of ‘leaving no</w:t>
      </w:r>
      <w:r>
        <w:rPr>
          <w:rFonts w:ascii="Times New Roman" w:eastAsia="Calibri" w:hAnsi="Times New Roman" w:cs="Times New Roman"/>
        </w:rPr>
        <w:t xml:space="preserve"> one</w:t>
      </w:r>
      <w:r w:rsidRPr="00CA36A7">
        <w:rPr>
          <w:rFonts w:ascii="Times New Roman" w:eastAsia="Calibri" w:hAnsi="Times New Roman" w:cs="Times New Roman"/>
        </w:rPr>
        <w:t xml:space="preserve"> behind’ is a crucial step forward when looking to strengthen our societies and democracies. Supporting diverse learning environments is a necessity and should be seen as an investment</w:t>
      </w:r>
      <w:r>
        <w:rPr>
          <w:rFonts w:ascii="Times New Roman" w:eastAsia="Calibri" w:hAnsi="Times New Roman" w:cs="Times New Roman"/>
        </w:rPr>
        <w:t xml:space="preserve"> towards societies</w:t>
      </w:r>
      <w:r w:rsidRPr="00CA36A7">
        <w:rPr>
          <w:rFonts w:ascii="Times New Roman" w:eastAsia="Calibri" w:hAnsi="Times New Roman" w:cs="Times New Roman"/>
        </w:rPr>
        <w:t>, and public authorities need to shoulder the responsibility of ensuring that the proposed principles and guidelines are consulted, adjusted to national realities and implemented, in order to safeguard a better future for our higher education systems.</w:t>
      </w:r>
    </w:p>
    <w:p w14:paraId="2639A2C2" w14:textId="77777777" w:rsidR="00792E57" w:rsidRPr="00CA36A7" w:rsidRDefault="00792E57" w:rsidP="00523424">
      <w:pPr>
        <w:jc w:val="both"/>
        <w:rPr>
          <w:rFonts w:ascii="Times New Roman" w:eastAsia="Calibri" w:hAnsi="Times New Roman" w:cs="Times New Roman"/>
          <w:b/>
          <w:color w:val="000000" w:themeColor="text1"/>
        </w:rPr>
      </w:pPr>
    </w:p>
    <w:p w14:paraId="3047100E" w14:textId="0C25A26E" w:rsidR="00792E57" w:rsidRDefault="00792E57" w:rsidP="00523424">
      <w:pPr>
        <w:jc w:val="both"/>
        <w:rPr>
          <w:rFonts w:ascii="Times New Roman" w:eastAsia="Times New Roman" w:hAnsi="Times New Roman" w:cs="Times New Roman"/>
          <w:b/>
          <w:color w:val="000000"/>
          <w:sz w:val="28"/>
          <w:szCs w:val="28"/>
        </w:rPr>
      </w:pPr>
      <w:r w:rsidRPr="00FD78CC">
        <w:rPr>
          <w:rFonts w:ascii="Times New Roman" w:eastAsia="Calibri" w:hAnsi="Times New Roman" w:cs="Times New Roman"/>
          <w:color w:val="000000" w:themeColor="text1"/>
        </w:rPr>
        <w:t xml:space="preserve">Principles in the text below should be understood as high-level statements that serve as a basis for the conceptualization of different policies for social dimension enhancement. Guidelines are </w:t>
      </w:r>
      <w:r>
        <w:rPr>
          <w:rFonts w:ascii="Times New Roman" w:eastAsia="Calibri" w:hAnsi="Times New Roman" w:cs="Times New Roman"/>
          <w:color w:val="000000" w:themeColor="text1"/>
        </w:rPr>
        <w:t>recommendations</w:t>
      </w:r>
      <w:r w:rsidRPr="00FD78CC">
        <w:rPr>
          <w:rFonts w:ascii="Times New Roman" w:eastAsia="Calibri" w:hAnsi="Times New Roman" w:cs="Times New Roman"/>
          <w:color w:val="000000" w:themeColor="text1"/>
        </w:rPr>
        <w:t xml:space="preserve"> intended to advise policy makers on how the principles should be implemented in practice.</w:t>
      </w:r>
      <w:r w:rsidRPr="00FD78CC">
        <w:rPr>
          <w:rFonts w:ascii="Times New Roman" w:hAnsi="Times New Roman" w:cs="Times New Roman"/>
        </w:rPr>
        <w:t xml:space="preserve"> </w:t>
      </w:r>
      <w:r>
        <w:rPr>
          <w:rFonts w:ascii="Times New Roman" w:hAnsi="Times New Roman" w:cs="Times New Roman"/>
        </w:rPr>
        <w:t>Therefore, the entirety of this document is</w:t>
      </w:r>
      <w:r w:rsidRPr="00FD78CC">
        <w:rPr>
          <w:rFonts w:ascii="Times New Roman" w:hAnsi="Times New Roman" w:cs="Times New Roman"/>
        </w:rPr>
        <w:t xml:space="preserve"> not to be seen as a checklist, but rather as the basis for continuous improvement of policies and their effective implementation at national and institutional level.</w:t>
      </w:r>
    </w:p>
    <w:p w14:paraId="735ED4CB" w14:textId="1816708D" w:rsidR="00136B28" w:rsidRDefault="00136B28">
      <w:pPr>
        <w:rPr>
          <w:rFonts w:ascii="Times New Roman" w:eastAsia="Times New Roman" w:hAnsi="Times New Roman" w:cs="Times New Roman"/>
          <w:b/>
          <w:color w:val="000000"/>
        </w:rPr>
      </w:pPr>
    </w:p>
    <w:p w14:paraId="2FE88DFE" w14:textId="77777777" w:rsidR="00136B28" w:rsidRDefault="00136B28">
      <w:pPr>
        <w:rPr>
          <w:rFonts w:ascii="Times New Roman" w:eastAsia="Times New Roman" w:hAnsi="Times New Roman" w:cs="Times New Roman"/>
          <w:b/>
          <w:color w:val="000000"/>
          <w:sz w:val="28"/>
          <w:szCs w:val="28"/>
        </w:rPr>
      </w:pPr>
    </w:p>
    <w:p w14:paraId="49E3659B" w14:textId="5E9ACAB1" w:rsidR="007868F1" w:rsidRDefault="001B5879">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Principles</w:t>
      </w:r>
      <w:r>
        <w:rPr>
          <w:rStyle w:val="FootnoteReference"/>
          <w:rFonts w:ascii="Times New Roman" w:eastAsia="Times New Roman" w:hAnsi="Times New Roman" w:cs="Times New Roman"/>
          <w:b/>
          <w:color w:val="000000"/>
          <w:sz w:val="28"/>
          <w:szCs w:val="28"/>
        </w:rPr>
        <w:footnoteReference w:id="6"/>
      </w:r>
    </w:p>
    <w:p w14:paraId="6C0593E9" w14:textId="77777777" w:rsidR="00152FC0" w:rsidRDefault="00152FC0">
      <w:pPr>
        <w:rPr>
          <w:rFonts w:ascii="Times New Roman" w:eastAsia="Times New Roman" w:hAnsi="Times New Roman" w:cs="Times New Roman"/>
          <w:b/>
          <w:color w:val="000000"/>
        </w:rPr>
      </w:pPr>
    </w:p>
    <w:p w14:paraId="2D0832FA" w14:textId="77777777" w:rsidR="00152FC0" w:rsidRPr="00F840F2" w:rsidRDefault="0080179B">
      <w:pPr>
        <w:numPr>
          <w:ilvl w:val="0"/>
          <w:numId w:val="11"/>
        </w:numPr>
        <w:pBdr>
          <w:top w:val="single" w:sz="4" w:space="0" w:color="000000"/>
          <w:left w:val="single" w:sz="4" w:space="4" w:color="000000"/>
          <w:bottom w:val="single" w:sz="4" w:space="1" w:color="000000"/>
          <w:right w:val="single" w:sz="4" w:space="4" w:color="000000"/>
          <w:between w:val="nil"/>
        </w:pBdr>
        <w:shd w:val="clear" w:color="auto" w:fill="5B9BD5" w:themeFill="accent5"/>
        <w:jc w:val="both"/>
        <w:rPr>
          <w:rFonts w:ascii="Times New Roman" w:eastAsia="Times New Roman" w:hAnsi="Times New Roman" w:cs="Times New Roman"/>
          <w:b/>
          <w:bCs/>
          <w:color w:val="000000"/>
          <w:sz w:val="24"/>
          <w:szCs w:val="24"/>
        </w:rPr>
      </w:pPr>
      <w:r w:rsidRPr="00F840F2">
        <w:rPr>
          <w:rFonts w:ascii="Times New Roman" w:eastAsia="Times New Roman" w:hAnsi="Times New Roman" w:cs="Times New Roman"/>
          <w:b/>
          <w:bCs/>
          <w:color w:val="000000"/>
          <w:sz w:val="24"/>
          <w:szCs w:val="24"/>
        </w:rPr>
        <w:t xml:space="preserve">The social dimension should be central to higher education strategies at system and institutional level, as well as at the EHEA and the EU level. Strengthening the social dimension of higher education and fostering equity and inclusion to reflect the diversity of society is the responsibility of a higher education system as a whole and should be regarded as a continuous commitment. </w:t>
      </w:r>
    </w:p>
    <w:p w14:paraId="2E9878DD" w14:textId="77777777" w:rsidR="00152FC0" w:rsidRDefault="00152FC0">
      <w:pPr>
        <w:pBdr>
          <w:top w:val="nil"/>
          <w:left w:val="nil"/>
          <w:bottom w:val="nil"/>
          <w:right w:val="nil"/>
          <w:between w:val="nil"/>
        </w:pBdr>
        <w:ind w:left="720"/>
        <w:jc w:val="both"/>
        <w:rPr>
          <w:rFonts w:ascii="Times New Roman" w:eastAsia="Times New Roman" w:hAnsi="Times New Roman" w:cs="Times New Roman"/>
          <w:color w:val="000000"/>
        </w:rPr>
      </w:pPr>
    </w:p>
    <w:p w14:paraId="2A617A2C" w14:textId="77777777" w:rsidR="00152FC0" w:rsidRDefault="0080179B">
      <w:pPr>
        <w:pBdr>
          <w:top w:val="nil"/>
          <w:left w:val="nil"/>
          <w:bottom w:val="nil"/>
          <w:right w:val="nil"/>
          <w:between w:val="nil"/>
        </w:pBdr>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Guidelines:</w:t>
      </w:r>
    </w:p>
    <w:p w14:paraId="7898B330" w14:textId="77777777" w:rsidR="00152FC0" w:rsidRPr="00F840F2" w:rsidRDefault="0080179B">
      <w:pPr>
        <w:numPr>
          <w:ilvl w:val="0"/>
          <w:numId w:val="8"/>
        </w:numPr>
        <w:pBdr>
          <w:top w:val="nil"/>
          <w:left w:val="nil"/>
          <w:bottom w:val="nil"/>
          <w:right w:val="nil"/>
          <w:between w:val="nil"/>
        </w:pBdr>
        <w:jc w:val="both"/>
        <w:rPr>
          <w:rFonts w:ascii="Times New Roman" w:eastAsia="Times New Roman" w:hAnsi="Times New Roman" w:cs="Times New Roman"/>
          <w:bCs/>
          <w:color w:val="000000"/>
        </w:rPr>
      </w:pPr>
      <w:r>
        <w:rPr>
          <w:rFonts w:ascii="Times New Roman" w:eastAsia="Times New Roman" w:hAnsi="Times New Roman" w:cs="Times New Roman"/>
        </w:rPr>
        <w:t xml:space="preserve">Strategic commitment to the social dimension of higher education should be aligned with </w:t>
      </w:r>
      <w:r w:rsidRPr="00F840F2">
        <w:rPr>
          <w:rFonts w:ascii="Times New Roman" w:eastAsia="Times New Roman" w:hAnsi="Times New Roman" w:cs="Times New Roman"/>
          <w:bCs/>
        </w:rPr>
        <w:t xml:space="preserve">concrete targets that can either be integrated within existing higher education policies or developed in parallel. These targets should aim at widening access, supporting participation in and completion of studies for all current and future students. </w:t>
      </w:r>
    </w:p>
    <w:p w14:paraId="66B640D0" w14:textId="74E775D5" w:rsidR="00152FC0" w:rsidRPr="008F21C5" w:rsidRDefault="0080179B">
      <w:pPr>
        <w:numPr>
          <w:ilvl w:val="0"/>
          <w:numId w:val="8"/>
        </w:numPr>
        <w:pBdr>
          <w:top w:val="nil"/>
          <w:left w:val="nil"/>
          <w:bottom w:val="nil"/>
          <w:right w:val="nil"/>
          <w:between w:val="nil"/>
        </w:pBdr>
        <w:jc w:val="both"/>
        <w:rPr>
          <w:rFonts w:ascii="Times New Roman" w:eastAsia="Times New Roman" w:hAnsi="Times New Roman" w:cs="Times New Roman"/>
          <w:color w:val="000000"/>
        </w:rPr>
      </w:pPr>
      <w:r w:rsidRPr="00F840F2">
        <w:rPr>
          <w:rFonts w:ascii="Times New Roman" w:eastAsia="Times New Roman" w:hAnsi="Times New Roman" w:cs="Times New Roman"/>
          <w:bCs/>
        </w:rPr>
        <w:t>In the process of creating strategies there should be a broad-based dialogue between public authorities, higher education</w:t>
      </w:r>
      <w:r>
        <w:rPr>
          <w:rFonts w:ascii="Times New Roman" w:eastAsia="Times New Roman" w:hAnsi="Times New Roman" w:cs="Times New Roman"/>
        </w:rPr>
        <w:t xml:space="preserve"> institutions, student and staff representatives and other key stakeholders, including social partners, non-governmental organisations and people from vulnerable, disadvantaged and underrepresented groups. This broad-based dialogue is to ensure the creation of inclusive higher education strategies that foster equity and diversity, and are responsive to the needs of the wider community.</w:t>
      </w:r>
    </w:p>
    <w:p w14:paraId="78E159B4" w14:textId="77777777" w:rsidR="00152FC0" w:rsidRDefault="00152FC0">
      <w:pPr>
        <w:rPr>
          <w:rFonts w:ascii="Times New Roman" w:eastAsia="Times New Roman" w:hAnsi="Times New Roman" w:cs="Times New Roman"/>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C1472A" w:rsidRPr="00C1472A" w14:paraId="16542E31" w14:textId="77777777" w:rsidTr="00C1472A">
        <w:tc>
          <w:tcPr>
            <w:tcW w:w="9010" w:type="dxa"/>
            <w:shd w:val="clear" w:color="auto" w:fill="auto"/>
          </w:tcPr>
          <w:p w14:paraId="6A57CBF2" w14:textId="77777777" w:rsidR="00152FC0" w:rsidRDefault="0080179B">
            <w:pPr>
              <w:jc w:val="both"/>
              <w:rPr>
                <w:rFonts w:ascii="Times New Roman" w:eastAsia="Times New Roman" w:hAnsi="Times New Roman" w:cs="Times New Roman"/>
                <w:b/>
              </w:rPr>
            </w:pPr>
            <w:r w:rsidRPr="00C1472A">
              <w:rPr>
                <w:rFonts w:ascii="Times New Roman" w:eastAsia="Times New Roman" w:hAnsi="Times New Roman" w:cs="Times New Roman"/>
                <w:b/>
              </w:rPr>
              <w:t>Indicators</w:t>
            </w:r>
          </w:p>
          <w:p w14:paraId="783B4F0A" w14:textId="7F8D49DE" w:rsidR="00C1472A" w:rsidRPr="00C1472A" w:rsidRDefault="00C1472A">
            <w:pPr>
              <w:jc w:val="both"/>
              <w:rPr>
                <w:rFonts w:ascii="Times New Roman" w:eastAsia="Times New Roman" w:hAnsi="Times New Roman" w:cs="Times New Roman"/>
                <w:b/>
              </w:rPr>
            </w:pPr>
          </w:p>
        </w:tc>
      </w:tr>
      <w:tr w:rsidR="00C1472A" w:rsidRPr="00C1472A" w14:paraId="2C2351D4" w14:textId="77777777" w:rsidTr="00C1472A">
        <w:tc>
          <w:tcPr>
            <w:tcW w:w="9010" w:type="dxa"/>
            <w:shd w:val="clear" w:color="auto" w:fill="auto"/>
          </w:tcPr>
          <w:p w14:paraId="367CD582" w14:textId="2B833400" w:rsidR="00152FC0" w:rsidRPr="00C1472A" w:rsidRDefault="0080179B">
            <w:pPr>
              <w:jc w:val="both"/>
              <w:rPr>
                <w:rFonts w:ascii="Times New Roman" w:eastAsia="Times New Roman" w:hAnsi="Times New Roman" w:cs="Times New Roman"/>
                <w:b/>
              </w:rPr>
            </w:pPr>
            <w:r w:rsidRPr="00C1472A">
              <w:rPr>
                <w:rFonts w:ascii="Times New Roman" w:eastAsia="Times New Roman" w:hAnsi="Times New Roman" w:cs="Times New Roman"/>
                <w:b/>
              </w:rPr>
              <w:t xml:space="preserve">1. Existence of a national strategy, or a similar major policy plan, on </w:t>
            </w:r>
            <w:r w:rsidR="00907551" w:rsidRPr="00C1472A">
              <w:rPr>
                <w:rFonts w:ascii="Times New Roman" w:eastAsia="Times New Roman" w:hAnsi="Times New Roman" w:cs="Times New Roman"/>
                <w:b/>
              </w:rPr>
              <w:t xml:space="preserve">social dimension of </w:t>
            </w:r>
            <w:r w:rsidRPr="00C1472A">
              <w:rPr>
                <w:rFonts w:ascii="Times New Roman" w:eastAsia="Times New Roman" w:hAnsi="Times New Roman" w:cs="Times New Roman"/>
                <w:b/>
              </w:rPr>
              <w:t>higher education</w:t>
            </w:r>
            <w:r w:rsidR="00907551" w:rsidRPr="00C1472A">
              <w:rPr>
                <w:rFonts w:ascii="Times New Roman" w:eastAsia="Times New Roman" w:hAnsi="Times New Roman" w:cs="Times New Roman"/>
                <w:b/>
              </w:rPr>
              <w:t>,</w:t>
            </w:r>
            <w:r w:rsidRPr="00C1472A">
              <w:rPr>
                <w:rFonts w:ascii="Times New Roman" w:eastAsia="Times New Roman" w:hAnsi="Times New Roman" w:cs="Times New Roman"/>
                <w:b/>
              </w:rPr>
              <w:t xml:space="preserve"> </w:t>
            </w:r>
            <w:r w:rsidR="00907551" w:rsidRPr="00C1472A">
              <w:rPr>
                <w:rFonts w:ascii="Times New Roman" w:eastAsia="Times New Roman" w:hAnsi="Times New Roman" w:cs="Times New Roman"/>
                <w:b/>
              </w:rPr>
              <w:t>which</w:t>
            </w:r>
            <w:r w:rsidRPr="00C1472A">
              <w:rPr>
                <w:rFonts w:ascii="Times New Roman" w:eastAsia="Times New Roman" w:hAnsi="Times New Roman" w:cs="Times New Roman"/>
                <w:b/>
              </w:rPr>
              <w:t xml:space="preserve"> </w:t>
            </w:r>
            <w:r w:rsidR="00907551" w:rsidRPr="00C1472A">
              <w:rPr>
                <w:rFonts w:ascii="Times New Roman" w:eastAsia="Times New Roman" w:hAnsi="Times New Roman" w:cs="Times New Roman"/>
                <w:b/>
              </w:rPr>
              <w:t>strengthens</w:t>
            </w:r>
            <w:r w:rsidRPr="00C1472A">
              <w:rPr>
                <w:rFonts w:ascii="Times New Roman" w:eastAsia="Times New Roman" w:hAnsi="Times New Roman" w:cs="Times New Roman"/>
                <w:b/>
              </w:rPr>
              <w:t xml:space="preserve"> diversity, equity </w:t>
            </w:r>
            <w:r w:rsidR="00D0751E" w:rsidRPr="00C1472A">
              <w:rPr>
                <w:rFonts w:ascii="Times New Roman" w:eastAsia="Times New Roman" w:hAnsi="Times New Roman" w:cs="Times New Roman"/>
                <w:b/>
              </w:rPr>
              <w:t>and</w:t>
            </w:r>
            <w:r w:rsidRPr="00C1472A">
              <w:rPr>
                <w:rFonts w:ascii="Times New Roman" w:eastAsia="Times New Roman" w:hAnsi="Times New Roman" w:cs="Times New Roman"/>
                <w:b/>
              </w:rPr>
              <w:t xml:space="preserve"> inclusion </w:t>
            </w:r>
            <w:r w:rsidR="00732998" w:rsidRPr="00C1472A">
              <w:rPr>
                <w:rFonts w:ascii="Times New Roman" w:eastAsia="Times New Roman" w:hAnsi="Times New Roman" w:cs="Times New Roman"/>
                <w:b/>
              </w:rPr>
              <w:t xml:space="preserve">of </w:t>
            </w:r>
            <w:r w:rsidRPr="00F840F2">
              <w:rPr>
                <w:rFonts w:ascii="Times New Roman" w:eastAsia="Times New Roman" w:hAnsi="Times New Roman" w:cs="Times New Roman"/>
                <w:b/>
                <w:u w:val="single"/>
              </w:rPr>
              <w:t>students</w:t>
            </w:r>
            <w:r w:rsidRPr="00C1472A">
              <w:rPr>
                <w:rFonts w:ascii="Times New Roman" w:eastAsia="Times New Roman" w:hAnsi="Times New Roman" w:cs="Times New Roman"/>
                <w:b/>
              </w:rPr>
              <w:t xml:space="preserve"> </w:t>
            </w:r>
            <w:r w:rsidR="00907551" w:rsidRPr="00C1472A">
              <w:rPr>
                <w:rFonts w:ascii="Times New Roman" w:eastAsia="Times New Roman" w:hAnsi="Times New Roman" w:cs="Times New Roman"/>
                <w:b/>
              </w:rPr>
              <w:t>(Eurydice, 2022</w:t>
            </w:r>
            <w:r w:rsidR="006C5481">
              <w:rPr>
                <w:rStyle w:val="FootnoteReference"/>
                <w:rFonts w:ascii="Times New Roman" w:eastAsia="Times New Roman" w:hAnsi="Times New Roman" w:cs="Times New Roman"/>
                <w:b/>
              </w:rPr>
              <w:footnoteReference w:id="7"/>
            </w:r>
            <w:r w:rsidR="00907551" w:rsidRPr="00C1472A">
              <w:rPr>
                <w:rFonts w:ascii="Times New Roman" w:eastAsia="Times New Roman" w:hAnsi="Times New Roman" w:cs="Times New Roman"/>
                <w:b/>
              </w:rPr>
              <w:t>)</w:t>
            </w:r>
            <w:r w:rsidRPr="00C1472A">
              <w:rPr>
                <w:rFonts w:ascii="Times New Roman" w:eastAsia="Times New Roman" w:hAnsi="Times New Roman" w:cs="Times New Roman"/>
                <w:b/>
              </w:rPr>
              <w:t>.</w:t>
            </w:r>
          </w:p>
          <w:p w14:paraId="4CEAA677" w14:textId="688D81CA" w:rsidR="00162133" w:rsidRPr="00C1472A" w:rsidRDefault="00F165F7">
            <w:pPr>
              <w:numPr>
                <w:ilvl w:val="0"/>
                <w:numId w:val="20"/>
              </w:numPr>
              <w:pBdr>
                <w:top w:val="nil"/>
                <w:left w:val="nil"/>
                <w:bottom w:val="nil"/>
                <w:right w:val="nil"/>
                <w:between w:val="nil"/>
              </w:pBdr>
              <w:rPr>
                <w:rFonts w:ascii="Times New Roman" w:eastAsia="Times New Roman" w:hAnsi="Times New Roman" w:cs="Times New Roman"/>
                <w:bCs/>
                <w:i/>
              </w:rPr>
            </w:pPr>
            <w:r>
              <w:rPr>
                <w:rFonts w:ascii="Times New Roman" w:eastAsia="Times New Roman" w:hAnsi="Times New Roman" w:cs="Times New Roman"/>
                <w:bCs/>
              </w:rPr>
              <w:t xml:space="preserve">Public authority </w:t>
            </w:r>
            <w:r w:rsidR="00C97C3B" w:rsidRPr="00C1472A">
              <w:rPr>
                <w:rFonts w:ascii="Times New Roman" w:eastAsia="Times New Roman" w:hAnsi="Times New Roman" w:cs="Times New Roman"/>
                <w:bCs/>
              </w:rPr>
              <w:t xml:space="preserve">has developed a strategy </w:t>
            </w:r>
            <w:r w:rsidR="000549DF" w:rsidRPr="00C1472A">
              <w:rPr>
                <w:rFonts w:ascii="Times New Roman" w:eastAsia="Times New Roman" w:hAnsi="Times New Roman" w:cs="Times New Roman"/>
                <w:bCs/>
              </w:rPr>
              <w:t xml:space="preserve">or a policy </w:t>
            </w:r>
            <w:r w:rsidR="00C97C3B" w:rsidRPr="00C1472A">
              <w:rPr>
                <w:rFonts w:ascii="Times New Roman" w:eastAsia="Times New Roman" w:hAnsi="Times New Roman" w:cs="Times New Roman"/>
                <w:bCs/>
              </w:rPr>
              <w:t xml:space="preserve">on </w:t>
            </w:r>
            <w:r w:rsidR="004E69B5" w:rsidRPr="00C1472A">
              <w:rPr>
                <w:rFonts w:ascii="Times New Roman" w:eastAsia="Times New Roman" w:hAnsi="Times New Roman" w:cs="Times New Roman"/>
                <w:bCs/>
              </w:rPr>
              <w:t>social dimension</w:t>
            </w:r>
            <w:r w:rsidR="000549DF" w:rsidRPr="00C1472A">
              <w:rPr>
                <w:rFonts w:ascii="Times New Roman" w:eastAsia="Times New Roman" w:hAnsi="Times New Roman" w:cs="Times New Roman"/>
                <w:bCs/>
              </w:rPr>
              <w:t xml:space="preserve"> enhancement in higher education</w:t>
            </w:r>
            <w:r w:rsidR="00C97C3B" w:rsidRPr="00C1472A">
              <w:rPr>
                <w:rFonts w:ascii="Times New Roman" w:eastAsia="Times New Roman" w:hAnsi="Times New Roman" w:cs="Times New Roman"/>
                <w:bCs/>
              </w:rPr>
              <w:t xml:space="preserve"> that </w:t>
            </w:r>
            <w:r w:rsidR="001C1E79" w:rsidRPr="00C1472A">
              <w:rPr>
                <w:rFonts w:ascii="Times New Roman" w:eastAsia="Times New Roman" w:hAnsi="Times New Roman" w:cs="Times New Roman"/>
                <w:bCs/>
              </w:rPr>
              <w:t>improves study conditions of</w:t>
            </w:r>
            <w:r w:rsidR="003270C1" w:rsidRPr="00C1472A">
              <w:rPr>
                <w:rFonts w:ascii="Times New Roman" w:eastAsia="Times New Roman" w:hAnsi="Times New Roman" w:cs="Times New Roman"/>
                <w:bCs/>
              </w:rPr>
              <w:t xml:space="preserve"> underrepresented, disadvantaged and vulnerable students</w:t>
            </w:r>
            <w:r w:rsidR="004E69B5" w:rsidRPr="00C1472A">
              <w:rPr>
                <w:rFonts w:ascii="Times New Roman" w:eastAsia="Times New Roman" w:hAnsi="Times New Roman" w:cs="Times New Roman"/>
                <w:bCs/>
              </w:rPr>
              <w:t xml:space="preserve"> </w:t>
            </w:r>
            <w:r w:rsidR="001C1E79" w:rsidRPr="00C1472A">
              <w:rPr>
                <w:rFonts w:ascii="Times New Roman" w:eastAsia="Times New Roman" w:hAnsi="Times New Roman" w:cs="Times New Roman"/>
                <w:bCs/>
              </w:rPr>
              <w:t xml:space="preserve">and creates an inclusive environment in higher education. </w:t>
            </w:r>
            <w:r w:rsidR="00D279BE" w:rsidRPr="00C1472A">
              <w:rPr>
                <w:rFonts w:ascii="Times New Roman" w:eastAsia="Times New Roman" w:hAnsi="Times New Roman" w:cs="Times New Roman"/>
                <w:bCs/>
              </w:rPr>
              <w:t xml:space="preserve"> </w:t>
            </w:r>
          </w:p>
          <w:p w14:paraId="749F1C19" w14:textId="2E317AEA" w:rsidR="009B5CB6" w:rsidRDefault="004112A4" w:rsidP="009B5CB6">
            <w:pPr>
              <w:numPr>
                <w:ilvl w:val="0"/>
                <w:numId w:val="20"/>
              </w:numPr>
              <w:pBdr>
                <w:top w:val="nil"/>
                <w:left w:val="nil"/>
                <w:bottom w:val="nil"/>
                <w:right w:val="nil"/>
                <w:between w:val="nil"/>
              </w:pBdr>
              <w:jc w:val="both"/>
              <w:rPr>
                <w:rFonts w:ascii="Times New Roman" w:eastAsia="Times New Roman" w:hAnsi="Times New Roman" w:cs="Times New Roman"/>
                <w:bCs/>
              </w:rPr>
            </w:pPr>
            <w:r>
              <w:rPr>
                <w:rFonts w:ascii="Times New Roman" w:eastAsia="Times New Roman" w:hAnsi="Times New Roman" w:cs="Times New Roman"/>
                <w:bCs/>
              </w:rPr>
              <w:lastRenderedPageBreak/>
              <w:t>Public authority</w:t>
            </w:r>
            <w:r w:rsidR="009B5CB6" w:rsidRPr="00920563">
              <w:rPr>
                <w:rFonts w:ascii="Times New Roman" w:eastAsia="Times New Roman" w:hAnsi="Times New Roman" w:cs="Times New Roman"/>
                <w:bCs/>
              </w:rPr>
              <w:t xml:space="preserve"> </w:t>
            </w:r>
            <w:r w:rsidR="007F169F">
              <w:rPr>
                <w:rFonts w:ascii="Times New Roman" w:eastAsia="Times New Roman" w:hAnsi="Times New Roman" w:cs="Times New Roman"/>
                <w:bCs/>
              </w:rPr>
              <w:t xml:space="preserve">incentivizes and has a legal framework that </w:t>
            </w:r>
            <w:r w:rsidR="009B5CB6" w:rsidRPr="00920563">
              <w:rPr>
                <w:rFonts w:ascii="Times New Roman" w:eastAsia="Times New Roman" w:hAnsi="Times New Roman" w:cs="Times New Roman"/>
                <w:bCs/>
              </w:rPr>
              <w:t xml:space="preserve">encourages </w:t>
            </w:r>
            <w:r>
              <w:rPr>
                <w:rFonts w:ascii="Times New Roman" w:eastAsia="Times New Roman" w:hAnsi="Times New Roman" w:cs="Times New Roman"/>
                <w:bCs/>
              </w:rPr>
              <w:t>higher education institution</w:t>
            </w:r>
            <w:r w:rsidR="009B5CB6" w:rsidRPr="00920563">
              <w:rPr>
                <w:rFonts w:ascii="Times New Roman" w:eastAsia="Times New Roman" w:hAnsi="Times New Roman" w:cs="Times New Roman"/>
                <w:bCs/>
              </w:rPr>
              <w:t>s to have an inclusive student admission policy, so that the composition of student body reflects diversity of society.</w:t>
            </w:r>
          </w:p>
          <w:p w14:paraId="1C2E0284" w14:textId="3234A674" w:rsidR="00920563" w:rsidRPr="00920563" w:rsidRDefault="00920563" w:rsidP="007F169F">
            <w:pPr>
              <w:pBdr>
                <w:top w:val="nil"/>
                <w:left w:val="nil"/>
                <w:bottom w:val="nil"/>
                <w:right w:val="nil"/>
                <w:between w:val="nil"/>
              </w:pBdr>
              <w:ind w:left="720"/>
              <w:jc w:val="both"/>
              <w:rPr>
                <w:rFonts w:ascii="Times New Roman" w:eastAsia="Times New Roman" w:hAnsi="Times New Roman" w:cs="Times New Roman"/>
                <w:bCs/>
              </w:rPr>
            </w:pPr>
          </w:p>
        </w:tc>
      </w:tr>
      <w:tr w:rsidR="007F169F" w:rsidRPr="00C1472A" w14:paraId="3E009648" w14:textId="77777777" w:rsidTr="00C1472A">
        <w:tc>
          <w:tcPr>
            <w:tcW w:w="9010" w:type="dxa"/>
            <w:shd w:val="clear" w:color="auto" w:fill="auto"/>
          </w:tcPr>
          <w:p w14:paraId="1A3816A0" w14:textId="77777777" w:rsidR="007F169F" w:rsidRPr="00C1472A" w:rsidRDefault="007F169F" w:rsidP="007F169F">
            <w:pPr>
              <w:jc w:val="both"/>
              <w:rPr>
                <w:rFonts w:ascii="Times New Roman" w:eastAsia="Times New Roman" w:hAnsi="Times New Roman" w:cs="Times New Roman"/>
                <w:b/>
              </w:rPr>
            </w:pPr>
            <w:r>
              <w:rPr>
                <w:rFonts w:ascii="Times New Roman" w:eastAsia="Times New Roman" w:hAnsi="Times New Roman" w:cs="Times New Roman"/>
                <w:b/>
              </w:rPr>
              <w:lastRenderedPageBreak/>
              <w:t>2</w:t>
            </w:r>
            <w:r w:rsidRPr="00C1472A">
              <w:rPr>
                <w:rFonts w:ascii="Times New Roman" w:eastAsia="Times New Roman" w:hAnsi="Times New Roman" w:cs="Times New Roman"/>
                <w:b/>
              </w:rPr>
              <w:t xml:space="preserve">. Existence of a national strategy, or a similar major policy plan, on social dimension of higher education, which strengthens diversity, equity and inclusion of </w:t>
            </w:r>
            <w:r w:rsidRPr="00F840F2">
              <w:rPr>
                <w:rFonts w:ascii="Times New Roman" w:eastAsia="Times New Roman" w:hAnsi="Times New Roman" w:cs="Times New Roman"/>
                <w:b/>
                <w:u w:val="single"/>
              </w:rPr>
              <w:t>staff</w:t>
            </w:r>
            <w:r w:rsidRPr="00C1472A">
              <w:rPr>
                <w:rFonts w:ascii="Times New Roman" w:eastAsia="Times New Roman" w:hAnsi="Times New Roman" w:cs="Times New Roman"/>
                <w:b/>
              </w:rPr>
              <w:t xml:space="preserve"> (Eurydice, 2022).</w:t>
            </w:r>
          </w:p>
          <w:p w14:paraId="7B323D6C" w14:textId="31B18AF6" w:rsidR="007F169F" w:rsidRPr="005271F1" w:rsidRDefault="00F840F2" w:rsidP="007F169F">
            <w:pPr>
              <w:pStyle w:val="ListParagraph"/>
              <w:numPr>
                <w:ilvl w:val="0"/>
                <w:numId w:val="39"/>
              </w:numPr>
              <w:jc w:val="both"/>
              <w:rPr>
                <w:rFonts w:ascii="Times New Roman" w:eastAsia="Times New Roman" w:hAnsi="Times New Roman" w:cs="Times New Roman"/>
                <w:bCs/>
                <w:sz w:val="22"/>
                <w:szCs w:val="22"/>
                <w:lang w:val="en-US"/>
              </w:rPr>
            </w:pPr>
            <w:r w:rsidRPr="00907BB4">
              <w:rPr>
                <w:rFonts w:ascii="Times New Roman" w:eastAsia="Times New Roman" w:hAnsi="Times New Roman" w:cs="Times New Roman"/>
                <w:bCs/>
                <w:sz w:val="22"/>
                <w:szCs w:val="22"/>
                <w:lang w:val="en-US"/>
              </w:rPr>
              <w:t>Public authority</w:t>
            </w:r>
            <w:r w:rsidR="007F169F" w:rsidRPr="005271F1">
              <w:rPr>
                <w:rFonts w:ascii="Times New Roman" w:eastAsia="Times New Roman" w:hAnsi="Times New Roman" w:cs="Times New Roman"/>
                <w:bCs/>
                <w:sz w:val="22"/>
                <w:szCs w:val="22"/>
                <w:lang w:val="en-US"/>
              </w:rPr>
              <w:t xml:space="preserve"> has developed a strategy or a policy on social dimension enhancement in higher education that improves working conditions of underrepresented, disadvantaged and vulnerable staff and creates an inclusive environment in higher education.</w:t>
            </w:r>
          </w:p>
          <w:p w14:paraId="340D926B" w14:textId="2CEB90B9" w:rsidR="007F169F" w:rsidRDefault="00F840F2" w:rsidP="007F169F">
            <w:pPr>
              <w:numPr>
                <w:ilvl w:val="0"/>
                <w:numId w:val="39"/>
              </w:numPr>
              <w:pBdr>
                <w:top w:val="nil"/>
                <w:left w:val="nil"/>
                <w:bottom w:val="nil"/>
                <w:right w:val="nil"/>
                <w:between w:val="nil"/>
              </w:pBdr>
              <w:jc w:val="both"/>
              <w:rPr>
                <w:rFonts w:ascii="Times New Roman" w:eastAsia="Times New Roman" w:hAnsi="Times New Roman" w:cs="Times New Roman"/>
                <w:bCs/>
              </w:rPr>
            </w:pPr>
            <w:r>
              <w:rPr>
                <w:rFonts w:ascii="Times New Roman" w:eastAsia="Times New Roman" w:hAnsi="Times New Roman" w:cs="Times New Roman"/>
                <w:bCs/>
              </w:rPr>
              <w:t>Public authority</w:t>
            </w:r>
            <w:r w:rsidR="007F169F" w:rsidRPr="00C1472A">
              <w:rPr>
                <w:rFonts w:ascii="Times New Roman" w:eastAsia="Times New Roman" w:hAnsi="Times New Roman" w:cs="Times New Roman"/>
                <w:bCs/>
              </w:rPr>
              <w:t xml:space="preserve"> </w:t>
            </w:r>
            <w:r w:rsidR="00907BB4">
              <w:rPr>
                <w:rFonts w:ascii="Times New Roman" w:eastAsia="Times New Roman" w:hAnsi="Times New Roman" w:cs="Times New Roman"/>
                <w:bCs/>
              </w:rPr>
              <w:t>incentivizes</w:t>
            </w:r>
            <w:r w:rsidR="007F169F" w:rsidRPr="00C1472A">
              <w:rPr>
                <w:rFonts w:ascii="Times New Roman" w:eastAsia="Times New Roman" w:hAnsi="Times New Roman" w:cs="Times New Roman"/>
                <w:bCs/>
              </w:rPr>
              <w:t xml:space="preserve"> </w:t>
            </w:r>
            <w:r w:rsidR="007F169F">
              <w:rPr>
                <w:rFonts w:ascii="Times New Roman" w:eastAsia="Times New Roman" w:hAnsi="Times New Roman" w:cs="Times New Roman"/>
                <w:bCs/>
              </w:rPr>
              <w:t xml:space="preserve">higher education institutions </w:t>
            </w:r>
            <w:r w:rsidR="007F169F" w:rsidRPr="00C1472A">
              <w:rPr>
                <w:rFonts w:ascii="Times New Roman" w:eastAsia="Times New Roman" w:hAnsi="Times New Roman" w:cs="Times New Roman"/>
                <w:bCs/>
              </w:rPr>
              <w:t xml:space="preserve">to have inclusive </w:t>
            </w:r>
            <w:r w:rsidR="007F169F">
              <w:rPr>
                <w:rFonts w:ascii="Times New Roman" w:eastAsia="Times New Roman" w:hAnsi="Times New Roman" w:cs="Times New Roman"/>
                <w:bCs/>
              </w:rPr>
              <w:t xml:space="preserve">human resources </w:t>
            </w:r>
            <w:r w:rsidR="007F169F" w:rsidRPr="00C1472A">
              <w:rPr>
                <w:rFonts w:ascii="Times New Roman" w:eastAsia="Times New Roman" w:hAnsi="Times New Roman" w:cs="Times New Roman"/>
                <w:bCs/>
              </w:rPr>
              <w:t>policies</w:t>
            </w:r>
            <w:r w:rsidR="007F169F">
              <w:rPr>
                <w:rFonts w:ascii="Times New Roman" w:eastAsia="Times New Roman" w:hAnsi="Times New Roman" w:cs="Times New Roman"/>
                <w:bCs/>
              </w:rPr>
              <w:t xml:space="preserve">, that pay attention to recruitment in particular, </w:t>
            </w:r>
            <w:r w:rsidR="007F169F" w:rsidRPr="00C1472A">
              <w:rPr>
                <w:rFonts w:ascii="Times New Roman" w:eastAsia="Times New Roman" w:hAnsi="Times New Roman" w:cs="Times New Roman"/>
                <w:bCs/>
              </w:rPr>
              <w:t>so that the composition of staff reflects diversity of society.</w:t>
            </w:r>
          </w:p>
          <w:p w14:paraId="687A7C54" w14:textId="0E3C22BE" w:rsidR="00F840F2" w:rsidRPr="007F169F" w:rsidRDefault="00F840F2" w:rsidP="00F840F2">
            <w:pPr>
              <w:pBdr>
                <w:top w:val="nil"/>
                <w:left w:val="nil"/>
                <w:bottom w:val="nil"/>
                <w:right w:val="nil"/>
                <w:between w:val="nil"/>
              </w:pBdr>
              <w:ind w:left="720"/>
              <w:jc w:val="both"/>
              <w:rPr>
                <w:rFonts w:ascii="Times New Roman" w:eastAsia="Times New Roman" w:hAnsi="Times New Roman" w:cs="Times New Roman"/>
                <w:bCs/>
              </w:rPr>
            </w:pPr>
          </w:p>
        </w:tc>
      </w:tr>
      <w:tr w:rsidR="00C1472A" w:rsidRPr="00C1472A" w14:paraId="5871085A" w14:textId="77777777" w:rsidTr="00C1472A">
        <w:tc>
          <w:tcPr>
            <w:tcW w:w="9010" w:type="dxa"/>
            <w:shd w:val="clear" w:color="auto" w:fill="auto"/>
          </w:tcPr>
          <w:p w14:paraId="55ED1053" w14:textId="768616B1" w:rsidR="00162133" w:rsidRPr="00C1472A" w:rsidRDefault="007F169F">
            <w:pPr>
              <w:jc w:val="both"/>
              <w:rPr>
                <w:rFonts w:ascii="Times New Roman" w:eastAsia="Times New Roman" w:hAnsi="Times New Roman" w:cs="Times New Roman"/>
                <w:b/>
              </w:rPr>
            </w:pPr>
            <w:r>
              <w:rPr>
                <w:rFonts w:ascii="Times New Roman" w:eastAsia="Times New Roman" w:hAnsi="Times New Roman" w:cs="Times New Roman"/>
                <w:b/>
              </w:rPr>
              <w:t>3</w:t>
            </w:r>
            <w:r w:rsidR="0080179B" w:rsidRPr="00C1472A">
              <w:rPr>
                <w:rFonts w:ascii="Times New Roman" w:eastAsia="Times New Roman" w:hAnsi="Times New Roman" w:cs="Times New Roman"/>
                <w:b/>
              </w:rPr>
              <w:t xml:space="preserve">. </w:t>
            </w:r>
            <w:r w:rsidR="00162133" w:rsidRPr="00C1472A">
              <w:rPr>
                <w:rFonts w:ascii="Times New Roman" w:eastAsia="Times New Roman" w:hAnsi="Times New Roman" w:cs="Times New Roman"/>
                <w:b/>
              </w:rPr>
              <w:t xml:space="preserve">Strategies and policies on social dimension of higher education have specific and measurable targets that </w:t>
            </w:r>
            <w:r>
              <w:rPr>
                <w:rFonts w:ascii="Times New Roman" w:eastAsia="Times New Roman" w:hAnsi="Times New Roman" w:cs="Times New Roman"/>
                <w:b/>
              </w:rPr>
              <w:t>are</w:t>
            </w:r>
            <w:r w:rsidR="00162133" w:rsidRPr="00C1472A">
              <w:rPr>
                <w:rFonts w:ascii="Times New Roman" w:eastAsia="Times New Roman" w:hAnsi="Times New Roman" w:cs="Times New Roman"/>
                <w:b/>
              </w:rPr>
              <w:t xml:space="preserve"> assessed </w:t>
            </w:r>
            <w:r w:rsidR="00CF68FA">
              <w:rPr>
                <w:rFonts w:ascii="Times New Roman" w:eastAsia="Times New Roman" w:hAnsi="Times New Roman" w:cs="Times New Roman"/>
                <w:b/>
              </w:rPr>
              <w:t xml:space="preserve">and monitored </w:t>
            </w:r>
            <w:r w:rsidR="00162133" w:rsidRPr="00C1472A">
              <w:rPr>
                <w:rFonts w:ascii="Times New Roman" w:eastAsia="Times New Roman" w:hAnsi="Times New Roman" w:cs="Times New Roman"/>
                <w:b/>
              </w:rPr>
              <w:t>by responsible bodies</w:t>
            </w:r>
            <w:r>
              <w:rPr>
                <w:rFonts w:ascii="Times New Roman" w:eastAsia="Times New Roman" w:hAnsi="Times New Roman" w:cs="Times New Roman"/>
                <w:b/>
              </w:rPr>
              <w:t xml:space="preserve"> within concrete timeframes</w:t>
            </w:r>
            <w:r w:rsidR="00162133" w:rsidRPr="00C1472A">
              <w:rPr>
                <w:rFonts w:ascii="Times New Roman" w:eastAsia="Times New Roman" w:hAnsi="Times New Roman" w:cs="Times New Roman"/>
                <w:b/>
              </w:rPr>
              <w:t xml:space="preserve"> </w:t>
            </w:r>
            <w:r w:rsidR="0080179B" w:rsidRPr="00C1472A">
              <w:rPr>
                <w:rFonts w:ascii="Times New Roman" w:eastAsia="Times New Roman" w:hAnsi="Times New Roman" w:cs="Times New Roman"/>
                <w:b/>
              </w:rPr>
              <w:t>(Eurydice</w:t>
            </w:r>
            <w:r w:rsidR="00162133" w:rsidRPr="00C1472A">
              <w:rPr>
                <w:rFonts w:ascii="Times New Roman" w:eastAsia="Times New Roman" w:hAnsi="Times New Roman" w:cs="Times New Roman"/>
                <w:b/>
              </w:rPr>
              <w:t>, 2022</w:t>
            </w:r>
            <w:r w:rsidR="0080179B" w:rsidRPr="00C1472A">
              <w:rPr>
                <w:rFonts w:ascii="Times New Roman" w:eastAsia="Times New Roman" w:hAnsi="Times New Roman" w:cs="Times New Roman"/>
                <w:b/>
              </w:rPr>
              <w:t>)</w:t>
            </w:r>
            <w:r w:rsidR="00162133" w:rsidRPr="00C1472A">
              <w:rPr>
                <w:rFonts w:ascii="Times New Roman" w:eastAsia="Times New Roman" w:hAnsi="Times New Roman" w:cs="Times New Roman"/>
                <w:b/>
              </w:rPr>
              <w:t xml:space="preserve">. </w:t>
            </w:r>
            <w:r w:rsidR="0080179B" w:rsidRPr="00C1472A">
              <w:rPr>
                <w:rFonts w:ascii="Times New Roman" w:eastAsia="Times New Roman" w:hAnsi="Times New Roman" w:cs="Times New Roman"/>
                <w:b/>
              </w:rPr>
              <w:t xml:space="preserve"> </w:t>
            </w:r>
          </w:p>
          <w:p w14:paraId="42EBE70B" w14:textId="266B35EB" w:rsidR="00CF68FA" w:rsidRPr="00CF68FA" w:rsidRDefault="00F840F2" w:rsidP="00CF68FA">
            <w:pPr>
              <w:numPr>
                <w:ilvl w:val="0"/>
                <w:numId w:val="20"/>
              </w:numPr>
              <w:jc w:val="both"/>
              <w:rPr>
                <w:rFonts w:ascii="Times New Roman" w:eastAsia="Times New Roman" w:hAnsi="Times New Roman" w:cs="Times New Roman"/>
                <w:bCs/>
              </w:rPr>
            </w:pPr>
            <w:r>
              <w:rPr>
                <w:rFonts w:ascii="Times New Roman" w:eastAsia="Times New Roman" w:hAnsi="Times New Roman" w:cs="Times New Roman"/>
                <w:bCs/>
              </w:rPr>
              <w:t>Public authority</w:t>
            </w:r>
            <w:r w:rsidR="00CF68FA" w:rsidRPr="00CF68FA">
              <w:rPr>
                <w:rFonts w:ascii="Times New Roman" w:eastAsia="Times New Roman" w:hAnsi="Times New Roman" w:cs="Times New Roman"/>
                <w:bCs/>
              </w:rPr>
              <w:t xml:space="preserve"> periodically assesses the implementation of the national strategies and policies, together with stakeholders, and monitor</w:t>
            </w:r>
            <w:r w:rsidR="00CF68FA">
              <w:rPr>
                <w:rFonts w:ascii="Times New Roman" w:eastAsia="Times New Roman" w:hAnsi="Times New Roman" w:cs="Times New Roman"/>
                <w:bCs/>
              </w:rPr>
              <w:t>s</w:t>
            </w:r>
            <w:r w:rsidR="00CF68FA" w:rsidRPr="00CF68FA">
              <w:rPr>
                <w:rFonts w:ascii="Times New Roman" w:eastAsia="Times New Roman" w:hAnsi="Times New Roman" w:cs="Times New Roman"/>
                <w:bCs/>
              </w:rPr>
              <w:t xml:space="preserve"> whether the selected targets are reached within proposed deadlines.</w:t>
            </w:r>
          </w:p>
          <w:p w14:paraId="483FF399" w14:textId="3DB78844" w:rsidR="00CF68FA" w:rsidRPr="00C1472A" w:rsidRDefault="00CF68FA" w:rsidP="00CF68FA">
            <w:pPr>
              <w:pBdr>
                <w:top w:val="nil"/>
                <w:left w:val="nil"/>
                <w:bottom w:val="nil"/>
                <w:right w:val="nil"/>
                <w:between w:val="nil"/>
              </w:pBdr>
              <w:jc w:val="both"/>
              <w:rPr>
                <w:rFonts w:ascii="Times New Roman" w:eastAsia="Times New Roman" w:hAnsi="Times New Roman" w:cs="Times New Roman"/>
                <w:bCs/>
              </w:rPr>
            </w:pPr>
          </w:p>
        </w:tc>
      </w:tr>
      <w:tr w:rsidR="00C1472A" w:rsidRPr="00C1472A" w14:paraId="15AA7392" w14:textId="77777777" w:rsidTr="00C1472A">
        <w:tc>
          <w:tcPr>
            <w:tcW w:w="9010" w:type="dxa"/>
            <w:shd w:val="clear" w:color="auto" w:fill="auto"/>
          </w:tcPr>
          <w:p w14:paraId="1A6B2941" w14:textId="1D3808F2" w:rsidR="005372F6" w:rsidRPr="00C1472A" w:rsidRDefault="00470E47" w:rsidP="00D57C26">
            <w:pPr>
              <w:jc w:val="both"/>
              <w:rPr>
                <w:rFonts w:ascii="Times New Roman" w:eastAsia="Times New Roman" w:hAnsi="Times New Roman" w:cs="Times New Roman"/>
                <w:b/>
              </w:rPr>
            </w:pPr>
            <w:r>
              <w:rPr>
                <w:rFonts w:ascii="Times New Roman" w:eastAsia="Times New Roman" w:hAnsi="Times New Roman" w:cs="Times New Roman"/>
                <w:b/>
              </w:rPr>
              <w:t>4</w:t>
            </w:r>
            <w:r w:rsidR="0080179B" w:rsidRPr="00C1472A">
              <w:rPr>
                <w:rFonts w:ascii="Times New Roman" w:eastAsia="Times New Roman" w:hAnsi="Times New Roman" w:cs="Times New Roman"/>
                <w:b/>
              </w:rPr>
              <w:t xml:space="preserve">. </w:t>
            </w:r>
            <w:r w:rsidR="005372F6" w:rsidRPr="00C1472A">
              <w:rPr>
                <w:rFonts w:ascii="Times New Roman" w:eastAsia="Times New Roman" w:hAnsi="Times New Roman" w:cs="Times New Roman"/>
                <w:b/>
              </w:rPr>
              <w:t>P</w:t>
            </w:r>
            <w:r w:rsidR="00F840F2">
              <w:rPr>
                <w:rFonts w:ascii="Times New Roman" w:eastAsia="Times New Roman" w:hAnsi="Times New Roman" w:cs="Times New Roman"/>
                <w:b/>
              </w:rPr>
              <w:t>ublic authority</w:t>
            </w:r>
            <w:r w:rsidR="005372F6" w:rsidRPr="00C1472A">
              <w:rPr>
                <w:rFonts w:ascii="Times New Roman" w:eastAsia="Times New Roman" w:hAnsi="Times New Roman" w:cs="Times New Roman"/>
                <w:b/>
              </w:rPr>
              <w:t xml:space="preserve"> has established social dialogue with stakeholders in </w:t>
            </w:r>
            <w:r w:rsidR="00F840F2">
              <w:rPr>
                <w:rFonts w:ascii="Times New Roman" w:eastAsia="Times New Roman" w:hAnsi="Times New Roman" w:cs="Times New Roman"/>
                <w:b/>
              </w:rPr>
              <w:t>higher education</w:t>
            </w:r>
            <w:r w:rsidR="005372F6" w:rsidRPr="00C1472A">
              <w:rPr>
                <w:rFonts w:ascii="Times New Roman" w:eastAsia="Times New Roman" w:hAnsi="Times New Roman" w:cs="Times New Roman"/>
                <w:b/>
              </w:rPr>
              <w:t xml:space="preserve"> on how to implement Principles and Guidelines in the process of creating national</w:t>
            </w:r>
            <w:r w:rsidR="005372F6" w:rsidRPr="00C1472A">
              <w:rPr>
                <w:rStyle w:val="FootnoteReference"/>
                <w:rFonts w:ascii="Times New Roman" w:eastAsia="Times New Roman" w:hAnsi="Times New Roman" w:cs="Times New Roman"/>
                <w:b/>
              </w:rPr>
              <w:footnoteReference w:id="8"/>
            </w:r>
            <w:r w:rsidR="005372F6" w:rsidRPr="00C1472A">
              <w:rPr>
                <w:rFonts w:ascii="Times New Roman" w:eastAsia="Times New Roman" w:hAnsi="Times New Roman" w:cs="Times New Roman"/>
                <w:b/>
              </w:rPr>
              <w:t xml:space="preserve"> strategies and policies. </w:t>
            </w:r>
          </w:p>
          <w:p w14:paraId="388B1A87" w14:textId="231BD48A" w:rsidR="00152FC0" w:rsidRPr="00C1472A" w:rsidRDefault="00F840F2" w:rsidP="005372F6">
            <w:pPr>
              <w:numPr>
                <w:ilvl w:val="0"/>
                <w:numId w:val="2"/>
              </w:numPr>
              <w:pBdr>
                <w:top w:val="nil"/>
                <w:left w:val="nil"/>
                <w:bottom w:val="nil"/>
                <w:right w:val="nil"/>
                <w:between w:val="nil"/>
              </w:pBdr>
              <w:jc w:val="both"/>
              <w:rPr>
                <w:rFonts w:ascii="Times New Roman" w:eastAsia="Times New Roman" w:hAnsi="Times New Roman" w:cs="Times New Roman"/>
                <w:bCs/>
              </w:rPr>
            </w:pPr>
            <w:r>
              <w:rPr>
                <w:rFonts w:ascii="Times New Roman" w:eastAsia="Times New Roman" w:hAnsi="Times New Roman" w:cs="Times New Roman"/>
                <w:bCs/>
              </w:rPr>
              <w:t>Public authority</w:t>
            </w:r>
            <w:r w:rsidR="0080179B" w:rsidRPr="00C1472A">
              <w:rPr>
                <w:rFonts w:ascii="Times New Roman" w:eastAsia="Times New Roman" w:hAnsi="Times New Roman" w:cs="Times New Roman"/>
                <w:bCs/>
              </w:rPr>
              <w:t xml:space="preserve"> </w:t>
            </w:r>
            <w:r w:rsidR="0007345F" w:rsidRPr="00C1472A">
              <w:rPr>
                <w:rFonts w:ascii="Times New Roman" w:eastAsia="Times New Roman" w:hAnsi="Times New Roman" w:cs="Times New Roman"/>
                <w:bCs/>
              </w:rPr>
              <w:t>incentivizes</w:t>
            </w:r>
            <w:r w:rsidR="00225057">
              <w:rPr>
                <w:rFonts w:ascii="Times New Roman" w:eastAsia="Times New Roman" w:hAnsi="Times New Roman" w:cs="Times New Roman"/>
                <w:bCs/>
              </w:rPr>
              <w:t>, including through funding,</w:t>
            </w:r>
            <w:r w:rsidR="0080179B" w:rsidRPr="00C1472A">
              <w:rPr>
                <w:rFonts w:ascii="Times New Roman" w:eastAsia="Times New Roman" w:hAnsi="Times New Roman" w:cs="Times New Roman"/>
                <w:bCs/>
              </w:rPr>
              <w:t xml:space="preserve"> </w:t>
            </w:r>
            <w:r>
              <w:rPr>
                <w:rFonts w:ascii="Times New Roman" w:eastAsia="Times New Roman" w:hAnsi="Times New Roman" w:cs="Times New Roman"/>
                <w:bCs/>
              </w:rPr>
              <w:t>higher education institutions</w:t>
            </w:r>
            <w:r w:rsidR="0080179B" w:rsidRPr="00C1472A">
              <w:rPr>
                <w:rFonts w:ascii="Times New Roman" w:eastAsia="Times New Roman" w:hAnsi="Times New Roman" w:cs="Times New Roman"/>
                <w:bCs/>
              </w:rPr>
              <w:t xml:space="preserve"> to </w:t>
            </w:r>
            <w:r w:rsidR="0007345F" w:rsidRPr="00C1472A">
              <w:rPr>
                <w:rFonts w:ascii="Times New Roman" w:eastAsia="Times New Roman" w:hAnsi="Times New Roman" w:cs="Times New Roman"/>
                <w:bCs/>
              </w:rPr>
              <w:t>co-create strategies and policies on diversity, equity and inclusion at institutional level with</w:t>
            </w:r>
            <w:r w:rsidR="0080179B" w:rsidRPr="00C1472A">
              <w:rPr>
                <w:rFonts w:ascii="Times New Roman" w:eastAsia="Times New Roman" w:hAnsi="Times New Roman" w:cs="Times New Roman"/>
                <w:bCs/>
              </w:rPr>
              <w:t xml:space="preserve"> a wide range of stakeholders, including student</w:t>
            </w:r>
            <w:r w:rsidR="0007345F" w:rsidRPr="00C1472A">
              <w:rPr>
                <w:rFonts w:ascii="Times New Roman" w:eastAsia="Times New Roman" w:hAnsi="Times New Roman" w:cs="Times New Roman"/>
                <w:bCs/>
              </w:rPr>
              <w:t xml:space="preserve"> unions</w:t>
            </w:r>
            <w:r w:rsidR="005372F6" w:rsidRPr="00C1472A">
              <w:rPr>
                <w:rFonts w:ascii="Times New Roman" w:eastAsia="Times New Roman" w:hAnsi="Times New Roman" w:cs="Times New Roman"/>
                <w:bCs/>
              </w:rPr>
              <w:t xml:space="preserve">, </w:t>
            </w:r>
            <w:r w:rsidR="0080179B" w:rsidRPr="00C1472A">
              <w:rPr>
                <w:rFonts w:ascii="Times New Roman" w:eastAsia="Times New Roman" w:hAnsi="Times New Roman" w:cs="Times New Roman"/>
                <w:bCs/>
              </w:rPr>
              <w:t xml:space="preserve">staff </w:t>
            </w:r>
            <w:r w:rsidR="0007345F" w:rsidRPr="00C1472A">
              <w:rPr>
                <w:rFonts w:ascii="Times New Roman" w:eastAsia="Times New Roman" w:hAnsi="Times New Roman" w:cs="Times New Roman"/>
                <w:bCs/>
              </w:rPr>
              <w:t>unions</w:t>
            </w:r>
            <w:r w:rsidR="005372F6" w:rsidRPr="00C1472A">
              <w:rPr>
                <w:rFonts w:ascii="Times New Roman" w:eastAsia="Times New Roman" w:hAnsi="Times New Roman" w:cs="Times New Roman"/>
                <w:bCs/>
              </w:rPr>
              <w:t xml:space="preserve">, </w:t>
            </w:r>
            <w:r w:rsidR="0007345F" w:rsidRPr="00C1472A">
              <w:rPr>
                <w:rFonts w:ascii="Times New Roman" w:eastAsia="Times New Roman" w:hAnsi="Times New Roman" w:cs="Times New Roman"/>
                <w:bCs/>
              </w:rPr>
              <w:t xml:space="preserve">representatives </w:t>
            </w:r>
            <w:r w:rsidR="0080179B" w:rsidRPr="00C1472A">
              <w:rPr>
                <w:rFonts w:ascii="Times New Roman" w:eastAsia="Times New Roman" w:hAnsi="Times New Roman" w:cs="Times New Roman"/>
                <w:bCs/>
              </w:rPr>
              <w:t>from underrepresented, disadvantaged and vulnerable groups</w:t>
            </w:r>
            <w:r w:rsidR="0007345F" w:rsidRPr="00C1472A">
              <w:rPr>
                <w:rFonts w:ascii="Times New Roman" w:eastAsia="Times New Roman" w:hAnsi="Times New Roman" w:cs="Times New Roman"/>
                <w:bCs/>
              </w:rPr>
              <w:t xml:space="preserve"> of students and staff</w:t>
            </w:r>
            <w:r w:rsidR="005372F6" w:rsidRPr="00C1472A">
              <w:rPr>
                <w:rFonts w:ascii="Times New Roman" w:eastAsia="Times New Roman" w:hAnsi="Times New Roman" w:cs="Times New Roman"/>
                <w:bCs/>
              </w:rPr>
              <w:t>, representatives of local communities</w:t>
            </w:r>
            <w:r w:rsidR="00CA2FAA" w:rsidRPr="00C1472A">
              <w:rPr>
                <w:rFonts w:ascii="Times New Roman" w:eastAsia="Times New Roman" w:hAnsi="Times New Roman" w:cs="Times New Roman"/>
                <w:bCs/>
              </w:rPr>
              <w:t xml:space="preserve">, etc. </w:t>
            </w:r>
          </w:p>
          <w:p w14:paraId="71C40102" w14:textId="0F848CEE" w:rsidR="007F169F" w:rsidRDefault="00907BB4" w:rsidP="003F3941">
            <w:pPr>
              <w:numPr>
                <w:ilvl w:val="0"/>
                <w:numId w:val="2"/>
              </w:numPr>
              <w:pBdr>
                <w:top w:val="nil"/>
                <w:left w:val="nil"/>
                <w:bottom w:val="nil"/>
                <w:right w:val="nil"/>
                <w:between w:val="nil"/>
              </w:pBdr>
              <w:jc w:val="both"/>
              <w:rPr>
                <w:rFonts w:ascii="Times New Roman" w:eastAsia="Times New Roman" w:hAnsi="Times New Roman" w:cs="Times New Roman"/>
                <w:bCs/>
              </w:rPr>
            </w:pPr>
            <w:r>
              <w:rPr>
                <w:rFonts w:ascii="Times New Roman" w:eastAsia="Times New Roman" w:hAnsi="Times New Roman" w:cs="Times New Roman"/>
                <w:bCs/>
              </w:rPr>
              <w:t>Public authority</w:t>
            </w:r>
            <w:r w:rsidR="0080179B" w:rsidRPr="00C1472A">
              <w:rPr>
                <w:rFonts w:ascii="Times New Roman" w:eastAsia="Times New Roman" w:hAnsi="Times New Roman" w:cs="Times New Roman"/>
                <w:bCs/>
              </w:rPr>
              <w:t xml:space="preserve"> </w:t>
            </w:r>
            <w:r w:rsidR="0007345F" w:rsidRPr="00C1472A">
              <w:rPr>
                <w:rFonts w:ascii="Times New Roman" w:eastAsia="Times New Roman" w:hAnsi="Times New Roman" w:cs="Times New Roman"/>
                <w:bCs/>
              </w:rPr>
              <w:t>incentivizes</w:t>
            </w:r>
            <w:r w:rsidR="0080179B" w:rsidRPr="00C1472A">
              <w:rPr>
                <w:rFonts w:ascii="Times New Roman" w:eastAsia="Times New Roman" w:hAnsi="Times New Roman" w:cs="Times New Roman"/>
                <w:bCs/>
              </w:rPr>
              <w:t xml:space="preserve"> </w:t>
            </w:r>
            <w:r>
              <w:rPr>
                <w:rFonts w:ascii="Times New Roman" w:eastAsia="Times New Roman" w:hAnsi="Times New Roman" w:cs="Times New Roman"/>
                <w:bCs/>
              </w:rPr>
              <w:t>higher education institutions</w:t>
            </w:r>
            <w:r w:rsidR="0080179B" w:rsidRPr="00C1472A">
              <w:rPr>
                <w:rFonts w:ascii="Times New Roman" w:eastAsia="Times New Roman" w:hAnsi="Times New Roman" w:cs="Times New Roman"/>
                <w:bCs/>
              </w:rPr>
              <w:t xml:space="preserve"> </w:t>
            </w:r>
            <w:r w:rsidR="00576DE1">
              <w:rPr>
                <w:rFonts w:ascii="Times New Roman" w:eastAsia="Times New Roman" w:hAnsi="Times New Roman" w:cs="Times New Roman"/>
                <w:bCs/>
              </w:rPr>
              <w:t>to assess impact</w:t>
            </w:r>
            <w:r w:rsidR="00CA2FAA" w:rsidRPr="00C1472A">
              <w:rPr>
                <w:rFonts w:ascii="Times New Roman" w:eastAsia="Times New Roman" w:hAnsi="Times New Roman" w:cs="Times New Roman"/>
                <w:bCs/>
              </w:rPr>
              <w:t xml:space="preserve"> of their social dimension strategies and policies</w:t>
            </w:r>
            <w:r w:rsidR="003F3941">
              <w:rPr>
                <w:rFonts w:ascii="Times New Roman" w:eastAsia="Times New Roman" w:hAnsi="Times New Roman" w:cs="Times New Roman"/>
                <w:bCs/>
              </w:rPr>
              <w:t>.</w:t>
            </w:r>
          </w:p>
          <w:p w14:paraId="379EDBF7" w14:textId="0755C5BA" w:rsidR="003F3941" w:rsidRPr="003F3941" w:rsidRDefault="00907BB4" w:rsidP="003F3941">
            <w:pPr>
              <w:numPr>
                <w:ilvl w:val="0"/>
                <w:numId w:val="2"/>
              </w:numPr>
              <w:pBdr>
                <w:top w:val="nil"/>
                <w:left w:val="nil"/>
                <w:bottom w:val="nil"/>
                <w:right w:val="nil"/>
                <w:between w:val="nil"/>
              </w:pBdr>
              <w:jc w:val="both"/>
              <w:rPr>
                <w:rFonts w:ascii="Times New Roman" w:eastAsia="Times New Roman" w:hAnsi="Times New Roman" w:cs="Times New Roman"/>
                <w:bCs/>
              </w:rPr>
            </w:pPr>
            <w:r>
              <w:rPr>
                <w:rFonts w:ascii="Times New Roman" w:eastAsia="Times New Roman" w:hAnsi="Times New Roman" w:cs="Times New Roman"/>
                <w:bCs/>
              </w:rPr>
              <w:t>Public authority</w:t>
            </w:r>
            <w:r w:rsidR="003F3941" w:rsidRPr="003F3941">
              <w:rPr>
                <w:rFonts w:ascii="Times New Roman" w:eastAsia="Times New Roman" w:hAnsi="Times New Roman" w:cs="Times New Roman"/>
                <w:bCs/>
              </w:rPr>
              <w:t xml:space="preserve"> </w:t>
            </w:r>
            <w:r>
              <w:rPr>
                <w:rFonts w:ascii="Times New Roman" w:eastAsia="Times New Roman" w:hAnsi="Times New Roman" w:cs="Times New Roman"/>
                <w:bCs/>
              </w:rPr>
              <w:t xml:space="preserve">provides recommendations to higher education institutions to include  </w:t>
            </w:r>
            <w:r w:rsidR="003F3941" w:rsidRPr="003F3941">
              <w:rPr>
                <w:rFonts w:ascii="Times New Roman" w:eastAsia="Times New Roman" w:hAnsi="Times New Roman" w:cs="Times New Roman"/>
                <w:bCs/>
              </w:rPr>
              <w:t xml:space="preserve"> representatives of underrepresented, disadvantaged and vulnerable students and staff in those assessments</w:t>
            </w:r>
            <w:r w:rsidR="003F3941">
              <w:rPr>
                <w:rFonts w:ascii="Times New Roman" w:eastAsia="Times New Roman" w:hAnsi="Times New Roman" w:cs="Times New Roman"/>
                <w:bCs/>
              </w:rPr>
              <w:t xml:space="preserve">. </w:t>
            </w:r>
          </w:p>
          <w:p w14:paraId="5C0A63FB" w14:textId="435053EB" w:rsidR="008F21C5" w:rsidRPr="00C1472A" w:rsidRDefault="008F21C5" w:rsidP="008F21C5">
            <w:pPr>
              <w:pBdr>
                <w:top w:val="nil"/>
                <w:left w:val="nil"/>
                <w:bottom w:val="nil"/>
                <w:right w:val="nil"/>
                <w:between w:val="nil"/>
              </w:pBdr>
              <w:ind w:left="1080"/>
              <w:jc w:val="both"/>
              <w:rPr>
                <w:rFonts w:ascii="Times New Roman" w:eastAsia="Times New Roman" w:hAnsi="Times New Roman" w:cs="Times New Roman"/>
                <w:bCs/>
              </w:rPr>
            </w:pPr>
          </w:p>
        </w:tc>
      </w:tr>
      <w:tr w:rsidR="00C1472A" w:rsidRPr="00C1472A" w14:paraId="20FACCE7" w14:textId="77777777" w:rsidTr="00C1472A">
        <w:tc>
          <w:tcPr>
            <w:tcW w:w="9010" w:type="dxa"/>
            <w:shd w:val="clear" w:color="auto" w:fill="auto"/>
          </w:tcPr>
          <w:p w14:paraId="47206448" w14:textId="077E709E" w:rsidR="00152FC0" w:rsidRPr="00C1472A" w:rsidRDefault="00470E47">
            <w:pPr>
              <w:jc w:val="both"/>
              <w:rPr>
                <w:rFonts w:ascii="Times New Roman" w:eastAsia="Times New Roman" w:hAnsi="Times New Roman" w:cs="Times New Roman"/>
                <w:b/>
              </w:rPr>
            </w:pPr>
            <w:r>
              <w:rPr>
                <w:rFonts w:ascii="Times New Roman" w:eastAsia="Times New Roman" w:hAnsi="Times New Roman" w:cs="Times New Roman"/>
                <w:b/>
              </w:rPr>
              <w:t>5</w:t>
            </w:r>
            <w:r w:rsidR="0080179B" w:rsidRPr="00C1472A">
              <w:rPr>
                <w:rFonts w:ascii="Times New Roman" w:eastAsia="Times New Roman" w:hAnsi="Times New Roman" w:cs="Times New Roman"/>
                <w:b/>
              </w:rPr>
              <w:t xml:space="preserve">. </w:t>
            </w:r>
            <w:r w:rsidR="005E1CB6" w:rsidRPr="00C1472A">
              <w:rPr>
                <w:rFonts w:ascii="Times New Roman" w:eastAsia="Times New Roman" w:hAnsi="Times New Roman" w:cs="Times New Roman"/>
                <w:b/>
              </w:rPr>
              <w:t xml:space="preserve">Quality assurance agencies are required to monitor whether </w:t>
            </w:r>
            <w:r w:rsidR="00102229">
              <w:rPr>
                <w:rFonts w:ascii="Times New Roman" w:eastAsia="Times New Roman" w:hAnsi="Times New Roman" w:cs="Times New Roman"/>
                <w:b/>
              </w:rPr>
              <w:t>higher education institutions</w:t>
            </w:r>
            <w:r w:rsidR="005E1CB6" w:rsidRPr="00C1472A">
              <w:rPr>
                <w:rFonts w:ascii="Times New Roman" w:eastAsia="Times New Roman" w:hAnsi="Times New Roman" w:cs="Times New Roman"/>
                <w:b/>
              </w:rPr>
              <w:t xml:space="preserve"> have social dimension </w:t>
            </w:r>
            <w:r w:rsidR="00D57C26" w:rsidRPr="00C1472A">
              <w:rPr>
                <w:rFonts w:ascii="Times New Roman" w:eastAsia="Times New Roman" w:hAnsi="Times New Roman" w:cs="Times New Roman"/>
                <w:b/>
              </w:rPr>
              <w:t xml:space="preserve">strategies and </w:t>
            </w:r>
            <w:r w:rsidR="005E1CB6" w:rsidRPr="00C1472A">
              <w:rPr>
                <w:rFonts w:ascii="Times New Roman" w:eastAsia="Times New Roman" w:hAnsi="Times New Roman" w:cs="Times New Roman"/>
                <w:b/>
              </w:rPr>
              <w:t>policies</w:t>
            </w:r>
            <w:r w:rsidR="00D57C26" w:rsidRPr="00C1472A">
              <w:rPr>
                <w:rFonts w:ascii="Times New Roman" w:eastAsia="Times New Roman" w:hAnsi="Times New Roman" w:cs="Times New Roman"/>
                <w:b/>
              </w:rPr>
              <w:t xml:space="preserve"> </w:t>
            </w:r>
            <w:r w:rsidR="0080179B" w:rsidRPr="00C1472A">
              <w:rPr>
                <w:rFonts w:ascii="Times New Roman" w:eastAsia="Times New Roman" w:hAnsi="Times New Roman" w:cs="Times New Roman"/>
                <w:b/>
              </w:rPr>
              <w:t>(Eurydice</w:t>
            </w:r>
            <w:r w:rsidR="005E1CB6" w:rsidRPr="00C1472A">
              <w:rPr>
                <w:rFonts w:ascii="Times New Roman" w:eastAsia="Times New Roman" w:hAnsi="Times New Roman" w:cs="Times New Roman"/>
                <w:b/>
              </w:rPr>
              <w:t>, 2022</w:t>
            </w:r>
            <w:r w:rsidR="0080179B" w:rsidRPr="00C1472A">
              <w:rPr>
                <w:rFonts w:ascii="Times New Roman" w:eastAsia="Times New Roman" w:hAnsi="Times New Roman" w:cs="Times New Roman"/>
                <w:b/>
              </w:rPr>
              <w:t>)</w:t>
            </w:r>
            <w:r w:rsidR="005E1CB6" w:rsidRPr="00C1472A">
              <w:rPr>
                <w:rFonts w:ascii="Times New Roman" w:eastAsia="Times New Roman" w:hAnsi="Times New Roman" w:cs="Times New Roman"/>
                <w:b/>
              </w:rPr>
              <w:t>.</w:t>
            </w:r>
          </w:p>
          <w:p w14:paraId="2469E81D" w14:textId="77777777" w:rsidR="00470E47" w:rsidRPr="002222CB" w:rsidRDefault="00470E47" w:rsidP="00470E47">
            <w:pPr>
              <w:numPr>
                <w:ilvl w:val="0"/>
                <w:numId w:val="6"/>
              </w:numPr>
              <w:pBdr>
                <w:top w:val="nil"/>
                <w:left w:val="nil"/>
                <w:bottom w:val="nil"/>
                <w:right w:val="nil"/>
                <w:between w:val="nil"/>
              </w:pBdr>
              <w:jc w:val="both"/>
              <w:rPr>
                <w:rFonts w:ascii="Times New Roman" w:eastAsia="Times New Roman" w:hAnsi="Times New Roman" w:cs="Times New Roman"/>
                <w:bCs/>
              </w:rPr>
            </w:pPr>
            <w:r w:rsidRPr="009C7448">
              <w:rPr>
                <w:rFonts w:ascii="Times New Roman" w:eastAsia="Times New Roman" w:hAnsi="Times New Roman" w:cs="Times New Roman"/>
                <w:bCs/>
              </w:rPr>
              <w:t>Quality assurance agencies</w:t>
            </w:r>
            <w:r>
              <w:rPr>
                <w:rFonts w:ascii="Times New Roman" w:eastAsia="Times New Roman" w:hAnsi="Times New Roman" w:cs="Times New Roman"/>
                <w:bCs/>
              </w:rPr>
              <w:t xml:space="preserve"> have standards and criteria in their external evaluation procedures that check </w:t>
            </w:r>
            <w:r w:rsidRPr="00B93042">
              <w:rPr>
                <w:rFonts w:ascii="Times New Roman" w:eastAsia="Times New Roman" w:hAnsi="Times New Roman" w:cs="Times New Roman"/>
                <w:bCs/>
              </w:rPr>
              <w:t xml:space="preserve">whether </w:t>
            </w:r>
            <w:r>
              <w:rPr>
                <w:rFonts w:ascii="Times New Roman" w:eastAsia="Times New Roman" w:hAnsi="Times New Roman" w:cs="Times New Roman"/>
                <w:bCs/>
              </w:rPr>
              <w:t>higher education institutions</w:t>
            </w:r>
            <w:r w:rsidRPr="00B93042">
              <w:rPr>
                <w:rFonts w:ascii="Times New Roman" w:eastAsia="Times New Roman" w:hAnsi="Times New Roman" w:cs="Times New Roman"/>
                <w:bCs/>
              </w:rPr>
              <w:t xml:space="preserve"> have social dimension strategies and policies</w:t>
            </w:r>
            <w:r>
              <w:rPr>
                <w:rFonts w:ascii="Times New Roman" w:eastAsia="Times New Roman" w:hAnsi="Times New Roman" w:cs="Times New Roman"/>
                <w:bCs/>
              </w:rPr>
              <w:t>.</w:t>
            </w:r>
          </w:p>
          <w:p w14:paraId="7D0A4D53" w14:textId="77777777" w:rsidR="00470E47" w:rsidRDefault="00470E47" w:rsidP="00470E47">
            <w:pPr>
              <w:numPr>
                <w:ilvl w:val="0"/>
                <w:numId w:val="6"/>
              </w:numPr>
              <w:pBdr>
                <w:top w:val="nil"/>
                <w:left w:val="nil"/>
                <w:bottom w:val="nil"/>
                <w:right w:val="nil"/>
                <w:between w:val="nil"/>
              </w:pBdr>
              <w:jc w:val="both"/>
              <w:rPr>
                <w:rFonts w:ascii="Times New Roman" w:eastAsia="Times New Roman" w:hAnsi="Times New Roman" w:cs="Times New Roman"/>
                <w:bCs/>
              </w:rPr>
            </w:pPr>
            <w:r w:rsidRPr="009C7448">
              <w:rPr>
                <w:rFonts w:ascii="Times New Roman" w:eastAsia="Times New Roman" w:hAnsi="Times New Roman" w:cs="Times New Roman"/>
                <w:bCs/>
              </w:rPr>
              <w:t xml:space="preserve">Quality assurance agencies raise the awareness of social dimension principles and guidelines among </w:t>
            </w:r>
            <w:r>
              <w:rPr>
                <w:rFonts w:ascii="Times New Roman" w:eastAsia="Times New Roman" w:hAnsi="Times New Roman" w:cs="Times New Roman"/>
                <w:bCs/>
              </w:rPr>
              <w:t>higher education institutions</w:t>
            </w:r>
            <w:r w:rsidRPr="009C7448">
              <w:rPr>
                <w:rFonts w:ascii="Times New Roman" w:eastAsia="Times New Roman" w:hAnsi="Times New Roman" w:cs="Times New Roman"/>
                <w:bCs/>
              </w:rPr>
              <w:t>, offer needs-based consultation with the involvement of underrepresented, disadvantaged and vulnerable students and staff members.</w:t>
            </w:r>
          </w:p>
          <w:p w14:paraId="40B3F97E" w14:textId="6FF6333F" w:rsidR="00152FC0" w:rsidRDefault="007F169F" w:rsidP="002222CB">
            <w:pPr>
              <w:numPr>
                <w:ilvl w:val="0"/>
                <w:numId w:val="6"/>
              </w:numPr>
              <w:pBdr>
                <w:top w:val="nil"/>
                <w:left w:val="nil"/>
                <w:bottom w:val="nil"/>
                <w:right w:val="nil"/>
                <w:between w:val="nil"/>
              </w:pBdr>
              <w:jc w:val="both"/>
              <w:rPr>
                <w:rFonts w:ascii="Times New Roman" w:eastAsia="Times New Roman" w:hAnsi="Times New Roman" w:cs="Times New Roman"/>
                <w:bCs/>
              </w:rPr>
            </w:pPr>
            <w:r>
              <w:rPr>
                <w:rFonts w:ascii="Times New Roman" w:eastAsia="Times New Roman" w:hAnsi="Times New Roman" w:cs="Times New Roman"/>
                <w:bCs/>
              </w:rPr>
              <w:t>Q</w:t>
            </w:r>
            <w:r w:rsidR="005E1CB6" w:rsidRPr="00C1472A">
              <w:rPr>
                <w:rFonts w:ascii="Times New Roman" w:eastAsia="Times New Roman" w:hAnsi="Times New Roman" w:cs="Times New Roman"/>
                <w:bCs/>
              </w:rPr>
              <w:t>uality assurance</w:t>
            </w:r>
            <w:r w:rsidR="0007345F" w:rsidRPr="00C1472A">
              <w:rPr>
                <w:rFonts w:ascii="Times New Roman" w:eastAsia="Times New Roman" w:hAnsi="Times New Roman" w:cs="Times New Roman"/>
                <w:bCs/>
              </w:rPr>
              <w:t xml:space="preserve"> agencies</w:t>
            </w:r>
            <w:r w:rsidR="00641014" w:rsidRPr="00C1472A">
              <w:rPr>
                <w:rFonts w:ascii="Times New Roman" w:eastAsia="Times New Roman" w:hAnsi="Times New Roman" w:cs="Times New Roman"/>
                <w:bCs/>
              </w:rPr>
              <w:t xml:space="preserve"> provide </w:t>
            </w:r>
            <w:r w:rsidR="00C13CD9" w:rsidRPr="00C1472A">
              <w:rPr>
                <w:rFonts w:ascii="Times New Roman" w:eastAsia="Times New Roman" w:hAnsi="Times New Roman" w:cs="Times New Roman"/>
                <w:bCs/>
              </w:rPr>
              <w:t xml:space="preserve">structured </w:t>
            </w:r>
            <w:r w:rsidR="00641014" w:rsidRPr="00C1472A">
              <w:rPr>
                <w:rFonts w:ascii="Times New Roman" w:eastAsia="Times New Roman" w:hAnsi="Times New Roman" w:cs="Times New Roman"/>
                <w:bCs/>
              </w:rPr>
              <w:t>training on social dimension in higher education to external</w:t>
            </w:r>
            <w:r w:rsidR="0080179B" w:rsidRPr="00C1472A">
              <w:rPr>
                <w:rFonts w:ascii="Times New Roman" w:eastAsia="Times New Roman" w:hAnsi="Times New Roman" w:cs="Times New Roman"/>
                <w:bCs/>
              </w:rPr>
              <w:t xml:space="preserve"> reviewers </w:t>
            </w:r>
            <w:r w:rsidR="00C13CD9" w:rsidRPr="00C1472A">
              <w:rPr>
                <w:rFonts w:ascii="Times New Roman" w:eastAsia="Times New Roman" w:hAnsi="Times New Roman" w:cs="Times New Roman"/>
                <w:bCs/>
              </w:rPr>
              <w:t>engaged</w:t>
            </w:r>
            <w:r w:rsidR="00641014" w:rsidRPr="00C1472A">
              <w:rPr>
                <w:rFonts w:ascii="Times New Roman" w:eastAsia="Times New Roman" w:hAnsi="Times New Roman" w:cs="Times New Roman"/>
                <w:bCs/>
              </w:rPr>
              <w:t xml:space="preserve"> in external evaluations.</w:t>
            </w:r>
            <w:r w:rsidR="008F21C5" w:rsidRPr="00C1472A">
              <w:rPr>
                <w:rFonts w:ascii="Times New Roman" w:eastAsia="Times New Roman" w:hAnsi="Times New Roman" w:cs="Times New Roman"/>
                <w:bCs/>
              </w:rPr>
              <w:t xml:space="preserve"> </w:t>
            </w:r>
            <w:r w:rsidR="002222CB" w:rsidRPr="002222CB">
              <w:rPr>
                <w:rFonts w:ascii="Times New Roman" w:eastAsia="Times New Roman" w:hAnsi="Times New Roman" w:cs="Times New Roman"/>
                <w:bCs/>
              </w:rPr>
              <w:t>This training should be delivered and co-created with underrepresented, disadvantaged and vulnerable students and staff</w:t>
            </w:r>
            <w:r w:rsidR="002222CB">
              <w:rPr>
                <w:rFonts w:ascii="Times New Roman" w:eastAsia="Times New Roman" w:hAnsi="Times New Roman" w:cs="Times New Roman"/>
                <w:bCs/>
              </w:rPr>
              <w:t xml:space="preserve">. </w:t>
            </w:r>
          </w:p>
          <w:p w14:paraId="537740B9" w14:textId="1065486B" w:rsidR="00152FC0" w:rsidRPr="00C1472A" w:rsidRDefault="00152FC0" w:rsidP="00470E47">
            <w:pPr>
              <w:pBdr>
                <w:top w:val="nil"/>
                <w:left w:val="nil"/>
                <w:bottom w:val="nil"/>
                <w:right w:val="nil"/>
                <w:between w:val="nil"/>
              </w:pBdr>
              <w:ind w:left="1080"/>
              <w:jc w:val="both"/>
              <w:rPr>
                <w:rFonts w:ascii="Times New Roman" w:eastAsia="Times New Roman" w:hAnsi="Times New Roman" w:cs="Times New Roman"/>
                <w:bCs/>
              </w:rPr>
            </w:pPr>
          </w:p>
        </w:tc>
      </w:tr>
      <w:tr w:rsidR="001A52B6" w:rsidRPr="00C1472A" w14:paraId="193131A0" w14:textId="77777777" w:rsidTr="00C1472A">
        <w:tc>
          <w:tcPr>
            <w:tcW w:w="9010" w:type="dxa"/>
            <w:shd w:val="clear" w:color="auto" w:fill="auto"/>
          </w:tcPr>
          <w:p w14:paraId="253062CF" w14:textId="6349CF7D" w:rsidR="001A52B6" w:rsidRDefault="00470E47">
            <w:pPr>
              <w:jc w:val="both"/>
              <w:rPr>
                <w:rFonts w:ascii="Times New Roman" w:eastAsia="Times New Roman" w:hAnsi="Times New Roman" w:cs="Times New Roman"/>
                <w:b/>
              </w:rPr>
            </w:pPr>
            <w:r>
              <w:rPr>
                <w:rFonts w:ascii="Times New Roman" w:eastAsia="Times New Roman" w:hAnsi="Times New Roman" w:cs="Times New Roman"/>
                <w:b/>
              </w:rPr>
              <w:t>6</w:t>
            </w:r>
            <w:r w:rsidR="001A52B6" w:rsidRPr="001A52B6">
              <w:rPr>
                <w:rFonts w:ascii="Times New Roman" w:eastAsia="Times New Roman" w:hAnsi="Times New Roman" w:cs="Times New Roman"/>
                <w:b/>
              </w:rPr>
              <w:t xml:space="preserve">. Existence of </w:t>
            </w:r>
            <w:r w:rsidR="007F169F">
              <w:rPr>
                <w:rFonts w:ascii="Times New Roman" w:eastAsia="Times New Roman" w:hAnsi="Times New Roman" w:cs="Times New Roman"/>
                <w:b/>
              </w:rPr>
              <w:t xml:space="preserve">a legal framework that enables </w:t>
            </w:r>
            <w:r w:rsidR="001A52B6" w:rsidRPr="001A52B6">
              <w:rPr>
                <w:rFonts w:ascii="Times New Roman" w:eastAsia="Times New Roman" w:hAnsi="Times New Roman" w:cs="Times New Roman"/>
                <w:b/>
              </w:rPr>
              <w:t xml:space="preserve">recognized student </w:t>
            </w:r>
            <w:r w:rsidR="00963A0B">
              <w:rPr>
                <w:rFonts w:ascii="Times New Roman" w:eastAsia="Times New Roman" w:hAnsi="Times New Roman" w:cs="Times New Roman"/>
                <w:b/>
              </w:rPr>
              <w:t xml:space="preserve">representative </w:t>
            </w:r>
            <w:r w:rsidR="00963A0B" w:rsidRPr="00470E47">
              <w:rPr>
                <w:rFonts w:ascii="Times New Roman" w:eastAsia="Times New Roman" w:hAnsi="Times New Roman" w:cs="Times New Roman"/>
                <w:b/>
              </w:rPr>
              <w:t>body</w:t>
            </w:r>
            <w:r w:rsidR="001A52B6" w:rsidRPr="00470E47">
              <w:rPr>
                <w:rFonts w:ascii="Times New Roman" w:eastAsia="Times New Roman" w:hAnsi="Times New Roman" w:cs="Times New Roman"/>
                <w:b/>
              </w:rPr>
              <w:t xml:space="preserve"> at </w:t>
            </w:r>
            <w:r w:rsidRPr="00470E47">
              <w:rPr>
                <w:rFonts w:ascii="Times New Roman" w:eastAsia="Times New Roman" w:hAnsi="Times New Roman" w:cs="Times New Roman"/>
                <w:b/>
              </w:rPr>
              <w:t>higher education institutions</w:t>
            </w:r>
            <w:r w:rsidR="001A52B6" w:rsidRPr="00470E47">
              <w:rPr>
                <w:rFonts w:ascii="Times New Roman" w:eastAsia="Times New Roman" w:hAnsi="Times New Roman" w:cs="Times New Roman"/>
                <w:b/>
              </w:rPr>
              <w:t xml:space="preserve"> to democratically represent all students</w:t>
            </w:r>
            <w:r w:rsidR="007F169F" w:rsidRPr="00470E47">
              <w:rPr>
                <w:rFonts w:ascii="Times New Roman" w:eastAsia="Times New Roman" w:hAnsi="Times New Roman" w:cs="Times New Roman"/>
                <w:b/>
              </w:rPr>
              <w:t xml:space="preserve"> and to </w:t>
            </w:r>
            <w:r w:rsidR="000628EB">
              <w:rPr>
                <w:rFonts w:ascii="Times New Roman" w:eastAsia="Times New Roman" w:hAnsi="Times New Roman" w:cs="Times New Roman"/>
                <w:b/>
              </w:rPr>
              <w:t xml:space="preserve">be </w:t>
            </w:r>
            <w:r w:rsidR="007F169F" w:rsidRPr="00470E47">
              <w:rPr>
                <w:rFonts w:ascii="Times New Roman" w:eastAsia="Times New Roman" w:hAnsi="Times New Roman" w:cs="Times New Roman"/>
                <w:b/>
              </w:rPr>
              <w:t>actively</w:t>
            </w:r>
            <w:r w:rsidR="008A59C9">
              <w:rPr>
                <w:rFonts w:ascii="Times New Roman" w:eastAsia="Times New Roman" w:hAnsi="Times New Roman" w:cs="Times New Roman"/>
                <w:b/>
              </w:rPr>
              <w:t xml:space="preserve"> </w:t>
            </w:r>
            <w:r w:rsidR="005271F1">
              <w:rPr>
                <w:rFonts w:ascii="Times New Roman" w:eastAsia="Times New Roman" w:hAnsi="Times New Roman" w:cs="Times New Roman"/>
                <w:b/>
              </w:rPr>
              <w:t>engage</w:t>
            </w:r>
            <w:r w:rsidR="000628EB">
              <w:rPr>
                <w:rFonts w:ascii="Times New Roman" w:eastAsia="Times New Roman" w:hAnsi="Times New Roman" w:cs="Times New Roman"/>
                <w:b/>
              </w:rPr>
              <w:t>d</w:t>
            </w:r>
            <w:r w:rsidR="0093199E">
              <w:rPr>
                <w:rFonts w:ascii="Times New Roman" w:eastAsia="Times New Roman" w:hAnsi="Times New Roman" w:cs="Times New Roman"/>
                <w:b/>
              </w:rPr>
              <w:t xml:space="preserve"> in the</w:t>
            </w:r>
            <w:r w:rsidR="001A52B6">
              <w:rPr>
                <w:rFonts w:ascii="Times New Roman" w:eastAsia="Times New Roman" w:hAnsi="Times New Roman" w:cs="Times New Roman"/>
                <w:b/>
              </w:rPr>
              <w:t xml:space="preserve"> enhancement of social dimension. </w:t>
            </w:r>
          </w:p>
          <w:p w14:paraId="15485F58" w14:textId="52909F02" w:rsidR="00AF2C2C" w:rsidRPr="004928D1" w:rsidRDefault="00470E47" w:rsidP="00AF2C2C">
            <w:pPr>
              <w:numPr>
                <w:ilvl w:val="0"/>
                <w:numId w:val="20"/>
              </w:numPr>
              <w:pBdr>
                <w:top w:val="nil"/>
                <w:left w:val="nil"/>
                <w:bottom w:val="nil"/>
                <w:right w:val="nil"/>
                <w:between w:val="nil"/>
              </w:pBdr>
              <w:jc w:val="both"/>
              <w:rPr>
                <w:rFonts w:ascii="Times New Roman" w:eastAsia="Times New Roman" w:hAnsi="Times New Roman" w:cs="Times New Roman"/>
                <w:bCs/>
              </w:rPr>
            </w:pPr>
            <w:r>
              <w:rPr>
                <w:rFonts w:ascii="Times New Roman" w:eastAsia="Times New Roman" w:hAnsi="Times New Roman" w:cs="Times New Roman"/>
                <w:bCs/>
              </w:rPr>
              <w:lastRenderedPageBreak/>
              <w:t>Public authority</w:t>
            </w:r>
            <w:r w:rsidR="00AF2C2C" w:rsidRPr="00C1472A">
              <w:rPr>
                <w:rFonts w:ascii="Times New Roman" w:eastAsia="Times New Roman" w:hAnsi="Times New Roman" w:cs="Times New Roman"/>
                <w:bCs/>
              </w:rPr>
              <w:t xml:space="preserve"> </w:t>
            </w:r>
            <w:r w:rsidR="005271F1">
              <w:rPr>
                <w:rFonts w:ascii="Times New Roman" w:eastAsia="Times New Roman" w:hAnsi="Times New Roman" w:cs="Times New Roman"/>
                <w:bCs/>
              </w:rPr>
              <w:t>requires</w:t>
            </w:r>
            <w:r w:rsidR="00AF2C2C" w:rsidRPr="00C1472A">
              <w:rPr>
                <w:rFonts w:ascii="Times New Roman" w:eastAsia="Times New Roman" w:hAnsi="Times New Roman" w:cs="Times New Roman"/>
                <w:bCs/>
              </w:rPr>
              <w:t xml:space="preserve"> </w:t>
            </w:r>
            <w:r>
              <w:rPr>
                <w:rFonts w:ascii="Times New Roman" w:eastAsia="Times New Roman" w:hAnsi="Times New Roman" w:cs="Times New Roman"/>
                <w:bCs/>
              </w:rPr>
              <w:t>higher education institutions</w:t>
            </w:r>
            <w:r w:rsidR="00AF2C2C">
              <w:rPr>
                <w:rFonts w:ascii="Times New Roman" w:eastAsia="Times New Roman" w:hAnsi="Times New Roman" w:cs="Times New Roman"/>
                <w:bCs/>
              </w:rPr>
              <w:t xml:space="preserve"> to </w:t>
            </w:r>
            <w:r w:rsidR="00AF2C2C" w:rsidRPr="00C1472A">
              <w:rPr>
                <w:rFonts w:ascii="Times New Roman" w:eastAsia="Times New Roman" w:hAnsi="Times New Roman" w:cs="Times New Roman"/>
                <w:bCs/>
              </w:rPr>
              <w:t>include</w:t>
            </w:r>
            <w:r w:rsidR="00AF2C2C">
              <w:rPr>
                <w:rFonts w:ascii="Times New Roman" w:eastAsia="Times New Roman" w:hAnsi="Times New Roman" w:cs="Times New Roman"/>
                <w:bCs/>
              </w:rPr>
              <w:t xml:space="preserve"> student representatives to participate</w:t>
            </w:r>
            <w:r w:rsidR="00AF2C2C" w:rsidRPr="00C1472A">
              <w:rPr>
                <w:rFonts w:ascii="Times New Roman" w:eastAsia="Times New Roman" w:hAnsi="Times New Roman" w:cs="Times New Roman"/>
                <w:bCs/>
              </w:rPr>
              <w:t xml:space="preserve"> in governance and management of a </w:t>
            </w:r>
            <w:r>
              <w:rPr>
                <w:rFonts w:ascii="Times New Roman" w:eastAsia="Times New Roman" w:hAnsi="Times New Roman" w:cs="Times New Roman"/>
                <w:bCs/>
              </w:rPr>
              <w:t>higher education institution</w:t>
            </w:r>
            <w:r w:rsidR="00AF2C2C" w:rsidRPr="00C1472A">
              <w:rPr>
                <w:rFonts w:ascii="Times New Roman" w:eastAsia="Times New Roman" w:hAnsi="Times New Roman" w:cs="Times New Roman"/>
                <w:bCs/>
              </w:rPr>
              <w:t xml:space="preserve">, </w:t>
            </w:r>
            <w:r w:rsidR="00BD0E29">
              <w:rPr>
                <w:rFonts w:ascii="Times New Roman" w:eastAsia="Times New Roman" w:hAnsi="Times New Roman" w:cs="Times New Roman"/>
                <w:bCs/>
              </w:rPr>
              <w:t>including</w:t>
            </w:r>
            <w:r w:rsidR="00AF2C2C" w:rsidRPr="00C1472A">
              <w:rPr>
                <w:rFonts w:ascii="Times New Roman" w:eastAsia="Times New Roman" w:hAnsi="Times New Roman" w:cs="Times New Roman"/>
                <w:bCs/>
              </w:rPr>
              <w:t xml:space="preserve"> in the planning process related to learning and teaching, research and outreach. </w:t>
            </w:r>
          </w:p>
          <w:p w14:paraId="08F77ADD" w14:textId="7BAC89D3" w:rsidR="001A52B6" w:rsidRPr="00C1472A" w:rsidRDefault="001A52B6">
            <w:pPr>
              <w:jc w:val="both"/>
              <w:rPr>
                <w:rFonts w:ascii="Times New Roman" w:eastAsia="Times New Roman" w:hAnsi="Times New Roman" w:cs="Times New Roman"/>
                <w:b/>
              </w:rPr>
            </w:pPr>
          </w:p>
        </w:tc>
      </w:tr>
    </w:tbl>
    <w:p w14:paraId="50938FA3" w14:textId="77777777" w:rsidR="00152FC0" w:rsidRDefault="00152FC0">
      <w:pPr>
        <w:rPr>
          <w:rFonts w:ascii="Times New Roman" w:eastAsia="Times New Roman" w:hAnsi="Times New Roman" w:cs="Times New Roman"/>
        </w:rPr>
      </w:pPr>
    </w:p>
    <w:p w14:paraId="47FA3243" w14:textId="77777777" w:rsidR="00152FC0" w:rsidRDefault="00152FC0">
      <w:pPr>
        <w:rPr>
          <w:rFonts w:ascii="Times New Roman" w:eastAsia="Times New Roman" w:hAnsi="Times New Roman" w:cs="Times New Roman"/>
        </w:rPr>
      </w:pPr>
    </w:p>
    <w:p w14:paraId="64670A35" w14:textId="77777777" w:rsidR="00152FC0" w:rsidRDefault="0080179B">
      <w:pPr>
        <w:numPr>
          <w:ilvl w:val="0"/>
          <w:numId w:val="11"/>
        </w:numPr>
        <w:pBdr>
          <w:top w:val="single" w:sz="4" w:space="1" w:color="000000"/>
          <w:left w:val="single" w:sz="4" w:space="4" w:color="000000"/>
          <w:bottom w:val="single" w:sz="4" w:space="1" w:color="000000"/>
          <w:right w:val="single" w:sz="4" w:space="4" w:color="000000"/>
          <w:between w:val="nil"/>
        </w:pBdr>
        <w:shd w:val="clear" w:color="auto" w:fill="70AD47" w:themeFill="accent6"/>
        <w:jc w:val="both"/>
        <w:rPr>
          <w:rFonts w:ascii="Times New Roman" w:eastAsia="Times New Roman" w:hAnsi="Times New Roman" w:cs="Times New Roman"/>
          <w:color w:val="000000"/>
          <w:sz w:val="24"/>
          <w:szCs w:val="24"/>
        </w:rPr>
      </w:pPr>
      <w:r w:rsidRPr="000628EB">
        <w:rPr>
          <w:rFonts w:ascii="Times New Roman" w:eastAsia="Times New Roman" w:hAnsi="Times New Roman" w:cs="Times New Roman"/>
          <w:b/>
          <w:color w:val="000000"/>
          <w:sz w:val="24"/>
          <w:szCs w:val="24"/>
        </w:rPr>
        <w:t>Legal regulations or policy documents should allow and enable higher education institutions to develop their own strategies to fulfil their public responsibility towards widening access to, participation in and completion of higher education studies.</w:t>
      </w:r>
      <w:r>
        <w:rPr>
          <w:rFonts w:ascii="Times New Roman" w:eastAsia="Times New Roman" w:hAnsi="Times New Roman" w:cs="Times New Roman"/>
          <w:b/>
          <w:color w:val="000000"/>
          <w:sz w:val="24"/>
          <w:szCs w:val="24"/>
        </w:rPr>
        <w:t> </w:t>
      </w:r>
    </w:p>
    <w:p w14:paraId="5FFF733C" w14:textId="77777777" w:rsidR="00152FC0" w:rsidRDefault="00152FC0">
      <w:pPr>
        <w:pBdr>
          <w:top w:val="nil"/>
          <w:left w:val="nil"/>
          <w:bottom w:val="nil"/>
          <w:right w:val="nil"/>
          <w:between w:val="nil"/>
        </w:pBdr>
        <w:ind w:left="720"/>
        <w:jc w:val="both"/>
        <w:rPr>
          <w:rFonts w:ascii="Times New Roman" w:eastAsia="Times New Roman" w:hAnsi="Times New Roman" w:cs="Times New Roman"/>
          <w:color w:val="000000"/>
        </w:rPr>
      </w:pPr>
    </w:p>
    <w:p w14:paraId="65F4B8C9" w14:textId="77777777" w:rsidR="00152FC0" w:rsidRPr="009E0595" w:rsidRDefault="0080179B">
      <w:pPr>
        <w:pBdr>
          <w:top w:val="nil"/>
          <w:left w:val="nil"/>
          <w:bottom w:val="nil"/>
          <w:right w:val="nil"/>
          <w:between w:val="nil"/>
        </w:pBdr>
        <w:ind w:left="720"/>
        <w:jc w:val="both"/>
        <w:rPr>
          <w:rFonts w:ascii="Times New Roman" w:eastAsia="Times New Roman" w:hAnsi="Times New Roman" w:cs="Times New Roman"/>
          <w:b/>
          <w:color w:val="000000"/>
        </w:rPr>
      </w:pPr>
      <w:r w:rsidRPr="009E0595">
        <w:rPr>
          <w:rFonts w:ascii="Times New Roman" w:eastAsia="Times New Roman" w:hAnsi="Times New Roman" w:cs="Times New Roman"/>
          <w:b/>
          <w:color w:val="000000"/>
        </w:rPr>
        <w:t>Guidelines:</w:t>
      </w:r>
    </w:p>
    <w:p w14:paraId="7861D7C0" w14:textId="1E8C5616" w:rsidR="00152FC0" w:rsidRPr="000628EB" w:rsidRDefault="0080179B">
      <w:pPr>
        <w:numPr>
          <w:ilvl w:val="0"/>
          <w:numId w:val="12"/>
        </w:numPr>
        <w:pBdr>
          <w:top w:val="nil"/>
          <w:left w:val="nil"/>
          <w:bottom w:val="nil"/>
          <w:right w:val="nil"/>
          <w:between w:val="nil"/>
        </w:pBdr>
        <w:jc w:val="both"/>
        <w:rPr>
          <w:rFonts w:ascii="Times New Roman" w:eastAsia="Times New Roman" w:hAnsi="Times New Roman" w:cs="Times New Roman"/>
          <w:color w:val="000000"/>
        </w:rPr>
      </w:pPr>
      <w:r w:rsidRPr="000628EB">
        <w:rPr>
          <w:rFonts w:ascii="Times New Roman" w:eastAsia="Times New Roman" w:hAnsi="Times New Roman" w:cs="Times New Roman"/>
          <w:color w:val="000000"/>
        </w:rPr>
        <w:t xml:space="preserve">Legal regulations and administrative rules should allow sufficient flexibility in the design, </w:t>
      </w:r>
      <w:r w:rsidR="00053C39" w:rsidRPr="000628EB">
        <w:rPr>
          <w:rFonts w:ascii="Times New Roman" w:eastAsia="Times New Roman" w:hAnsi="Times New Roman" w:cs="Times New Roman"/>
          <w:color w:val="000000"/>
        </w:rPr>
        <w:t>organisation</w:t>
      </w:r>
      <w:r w:rsidRPr="000628EB">
        <w:rPr>
          <w:rFonts w:ascii="Times New Roman" w:eastAsia="Times New Roman" w:hAnsi="Times New Roman" w:cs="Times New Roman"/>
          <w:color w:val="000000"/>
        </w:rPr>
        <w:t xml:space="preserve"> and delivery of study programmes to reflect the diversity of students’ needs. Higher education institutions should be enabled to </w:t>
      </w:r>
      <w:r w:rsidR="00127C33" w:rsidRPr="000628EB">
        <w:rPr>
          <w:rFonts w:ascii="Times New Roman" w:eastAsia="Times New Roman" w:hAnsi="Times New Roman" w:cs="Times New Roman"/>
          <w:color w:val="000000"/>
        </w:rPr>
        <w:t>recognize</w:t>
      </w:r>
      <w:r w:rsidRPr="000628EB">
        <w:rPr>
          <w:rFonts w:ascii="Times New Roman" w:eastAsia="Times New Roman" w:hAnsi="Times New Roman" w:cs="Times New Roman"/>
          <w:color w:val="000000"/>
        </w:rPr>
        <w:t xml:space="preserve"> full-time and part-time studies, flexible study modes, blended and distance learning as well as to </w:t>
      </w:r>
      <w:r w:rsidR="00127C33" w:rsidRPr="000628EB">
        <w:rPr>
          <w:rFonts w:ascii="Times New Roman" w:eastAsia="Times New Roman" w:hAnsi="Times New Roman" w:cs="Times New Roman"/>
          <w:color w:val="000000"/>
        </w:rPr>
        <w:t xml:space="preserve">recognize </w:t>
      </w:r>
      <w:r w:rsidRPr="000628EB">
        <w:rPr>
          <w:rFonts w:ascii="Times New Roman" w:eastAsia="Times New Roman" w:hAnsi="Times New Roman" w:cs="Times New Roman"/>
          <w:color w:val="000000"/>
        </w:rPr>
        <w:t>prior learning (RPL), in order to accommodate the needs of the diverse student population</w:t>
      </w:r>
    </w:p>
    <w:p w14:paraId="5C9ECDB2" w14:textId="77777777" w:rsidR="00152FC0" w:rsidRPr="000628EB" w:rsidRDefault="00152FC0">
      <w:pPr>
        <w:pBdr>
          <w:top w:val="nil"/>
          <w:left w:val="nil"/>
          <w:bottom w:val="nil"/>
          <w:right w:val="nil"/>
          <w:between w:val="nil"/>
        </w:pBdr>
        <w:ind w:left="1080"/>
        <w:jc w:val="both"/>
        <w:rPr>
          <w:rFonts w:ascii="Times New Roman" w:eastAsia="Times New Roman" w:hAnsi="Times New Roman" w:cs="Times New Roman"/>
          <w:color w:val="000000"/>
        </w:rPr>
      </w:pPr>
    </w:p>
    <w:p w14:paraId="534603B3" w14:textId="77777777" w:rsidR="00152FC0" w:rsidRPr="009E0595" w:rsidRDefault="0080179B">
      <w:pPr>
        <w:numPr>
          <w:ilvl w:val="0"/>
          <w:numId w:val="12"/>
        </w:numPr>
        <w:pBdr>
          <w:top w:val="nil"/>
          <w:left w:val="nil"/>
          <w:bottom w:val="nil"/>
          <w:right w:val="nil"/>
          <w:between w:val="nil"/>
        </w:pBdr>
        <w:jc w:val="both"/>
        <w:rPr>
          <w:rFonts w:ascii="Times New Roman" w:eastAsia="Times New Roman" w:hAnsi="Times New Roman" w:cs="Times New Roman"/>
          <w:color w:val="000000"/>
        </w:rPr>
      </w:pPr>
      <w:r w:rsidRPr="000628EB">
        <w:rPr>
          <w:rFonts w:ascii="Times New Roman" w:eastAsia="Times New Roman" w:hAnsi="Times New Roman" w:cs="Times New Roman"/>
          <w:color w:val="000000"/>
        </w:rPr>
        <w:t>Public authorities should promote recognition of prior non-formal and informal learning (RPL) in higher education, because it has a positive impact on widening access, transition and completion, equity and inclusion, mobility and employability. RPL enables flexible modes of lifelong learning in the entire education sector, including higher education. Implementing RPL will require effective cooperation amongst the higher educ</w:t>
      </w:r>
      <w:r w:rsidRPr="009E0595">
        <w:rPr>
          <w:rFonts w:ascii="Times New Roman" w:eastAsia="Times New Roman" w:hAnsi="Times New Roman" w:cs="Times New Roman"/>
          <w:color w:val="000000"/>
        </w:rPr>
        <w:t>ation system, employers and the wider community and to enable this national qualifications frameworks should facilitate transparent recognition of learning outcomes and reliable quality assurance procedure.</w:t>
      </w:r>
    </w:p>
    <w:p w14:paraId="4008C24B" w14:textId="77777777" w:rsidR="00152FC0" w:rsidRDefault="00152FC0">
      <w:pPr>
        <w:rPr>
          <w:rFonts w:ascii="Times New Roman" w:eastAsia="Times New Roman" w:hAnsi="Times New Roman" w:cs="Times New Roman"/>
        </w:rPr>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C1472A" w:rsidRPr="00C1472A" w14:paraId="022C8C7B" w14:textId="77777777" w:rsidTr="00C1472A">
        <w:tc>
          <w:tcPr>
            <w:tcW w:w="9010" w:type="dxa"/>
            <w:shd w:val="clear" w:color="auto" w:fill="auto"/>
          </w:tcPr>
          <w:p w14:paraId="65ABFF67" w14:textId="77777777" w:rsidR="00152FC0" w:rsidRDefault="0080179B">
            <w:pPr>
              <w:jc w:val="both"/>
              <w:rPr>
                <w:rFonts w:ascii="Times New Roman" w:eastAsia="Times New Roman" w:hAnsi="Times New Roman" w:cs="Times New Roman"/>
                <w:b/>
              </w:rPr>
            </w:pPr>
            <w:r w:rsidRPr="00C1472A">
              <w:rPr>
                <w:rFonts w:ascii="Times New Roman" w:eastAsia="Times New Roman" w:hAnsi="Times New Roman" w:cs="Times New Roman"/>
                <w:b/>
              </w:rPr>
              <w:t>Indicators</w:t>
            </w:r>
          </w:p>
          <w:p w14:paraId="2B12900A" w14:textId="4E4FC7AC" w:rsidR="00C1472A" w:rsidRPr="00C1472A" w:rsidRDefault="00C1472A">
            <w:pPr>
              <w:jc w:val="both"/>
              <w:rPr>
                <w:rFonts w:ascii="Times New Roman" w:eastAsia="Times New Roman" w:hAnsi="Times New Roman" w:cs="Times New Roman"/>
                <w:b/>
              </w:rPr>
            </w:pPr>
          </w:p>
        </w:tc>
      </w:tr>
      <w:tr w:rsidR="00C1472A" w:rsidRPr="00C1472A" w14:paraId="259EBD7A" w14:textId="77777777" w:rsidTr="00C1472A">
        <w:tc>
          <w:tcPr>
            <w:tcW w:w="9010" w:type="dxa"/>
            <w:shd w:val="clear" w:color="auto" w:fill="auto"/>
          </w:tcPr>
          <w:p w14:paraId="0215EAAF" w14:textId="7516612F" w:rsidR="00152FC0" w:rsidRPr="00C1472A" w:rsidRDefault="0080179B">
            <w:pPr>
              <w:jc w:val="both"/>
              <w:rPr>
                <w:rFonts w:ascii="Times New Roman" w:eastAsia="Times New Roman" w:hAnsi="Times New Roman" w:cs="Times New Roman"/>
                <w:b/>
              </w:rPr>
            </w:pPr>
            <w:r w:rsidRPr="00C1472A">
              <w:rPr>
                <w:rFonts w:ascii="Times New Roman" w:eastAsia="Times New Roman" w:hAnsi="Times New Roman" w:cs="Times New Roman"/>
                <w:b/>
              </w:rPr>
              <w:t xml:space="preserve">1. Existence of top-level regulations that </w:t>
            </w:r>
            <w:r w:rsidRPr="00AE40BE">
              <w:rPr>
                <w:rFonts w:ascii="Times New Roman" w:eastAsia="Times New Roman" w:hAnsi="Times New Roman" w:cs="Times New Roman"/>
                <w:b/>
              </w:rPr>
              <w:t xml:space="preserve">allow </w:t>
            </w:r>
            <w:r w:rsidR="00AE40BE" w:rsidRPr="00AE40BE">
              <w:rPr>
                <w:rFonts w:ascii="Times New Roman" w:eastAsia="Times New Roman" w:hAnsi="Times New Roman" w:cs="Times New Roman"/>
                <w:b/>
              </w:rPr>
              <w:t>higher education institutions</w:t>
            </w:r>
            <w:r w:rsidRPr="00AE40BE">
              <w:rPr>
                <w:rFonts w:ascii="Times New Roman" w:eastAsia="Times New Roman" w:hAnsi="Times New Roman" w:cs="Times New Roman"/>
                <w:b/>
              </w:rPr>
              <w:t xml:space="preserve"> to offer </w:t>
            </w:r>
            <w:r w:rsidR="00E65BA1" w:rsidRPr="00AE40BE">
              <w:rPr>
                <w:rFonts w:ascii="Times New Roman" w:eastAsia="Times New Roman" w:hAnsi="Times New Roman" w:cs="Times New Roman"/>
                <w:b/>
              </w:rPr>
              <w:t xml:space="preserve">flexible pathways like </w:t>
            </w:r>
            <w:r w:rsidRPr="00AE40BE">
              <w:rPr>
                <w:rFonts w:ascii="Times New Roman" w:eastAsia="Times New Roman" w:hAnsi="Times New Roman" w:cs="Times New Roman"/>
                <w:b/>
              </w:rPr>
              <w:t>part-time studies, stacking modules</w:t>
            </w:r>
            <w:r w:rsidRPr="00C1472A">
              <w:rPr>
                <w:rFonts w:ascii="Times New Roman" w:eastAsia="Times New Roman" w:hAnsi="Times New Roman" w:cs="Times New Roman"/>
                <w:b/>
              </w:rPr>
              <w:t>, blended or distance learning programmes</w:t>
            </w:r>
            <w:r w:rsidR="0033084C" w:rsidRPr="00C1472A">
              <w:rPr>
                <w:rFonts w:ascii="Times New Roman" w:eastAsia="Times New Roman" w:hAnsi="Times New Roman" w:cs="Times New Roman"/>
                <w:b/>
              </w:rPr>
              <w:t xml:space="preserve"> (Eurydice, 2022)</w:t>
            </w:r>
            <w:r w:rsidRPr="00C1472A">
              <w:rPr>
                <w:rFonts w:ascii="Times New Roman" w:eastAsia="Times New Roman" w:hAnsi="Times New Roman" w:cs="Times New Roman"/>
                <w:b/>
              </w:rPr>
              <w:t>.</w:t>
            </w:r>
          </w:p>
          <w:p w14:paraId="50C3DDB8" w14:textId="53A5EF39" w:rsidR="00380A73" w:rsidRPr="00C1472A" w:rsidRDefault="00380A73">
            <w:pPr>
              <w:numPr>
                <w:ilvl w:val="0"/>
                <w:numId w:val="21"/>
              </w:numPr>
              <w:pBdr>
                <w:top w:val="nil"/>
                <w:left w:val="nil"/>
                <w:bottom w:val="nil"/>
                <w:right w:val="nil"/>
                <w:between w:val="nil"/>
              </w:pBdr>
              <w:jc w:val="both"/>
              <w:rPr>
                <w:rFonts w:ascii="Times New Roman" w:eastAsia="Times New Roman" w:hAnsi="Times New Roman" w:cs="Times New Roman"/>
                <w:bCs/>
              </w:rPr>
            </w:pPr>
            <w:r w:rsidRPr="00C1472A">
              <w:rPr>
                <w:rFonts w:ascii="Times New Roman" w:eastAsia="Times New Roman" w:hAnsi="Times New Roman" w:cs="Times New Roman"/>
                <w:bCs/>
              </w:rPr>
              <w:t>P</w:t>
            </w:r>
            <w:r w:rsidR="00AE40BE">
              <w:rPr>
                <w:rFonts w:ascii="Times New Roman" w:eastAsia="Times New Roman" w:hAnsi="Times New Roman" w:cs="Times New Roman"/>
                <w:bCs/>
              </w:rPr>
              <w:t>ublic authority</w:t>
            </w:r>
            <w:r w:rsidR="00127C33">
              <w:rPr>
                <w:rFonts w:ascii="Times New Roman" w:eastAsia="Times New Roman" w:hAnsi="Times New Roman" w:cs="Times New Roman"/>
                <w:bCs/>
              </w:rPr>
              <w:t xml:space="preserve"> </w:t>
            </w:r>
            <w:r w:rsidR="005271F1">
              <w:rPr>
                <w:rFonts w:ascii="Times New Roman" w:eastAsia="Times New Roman" w:hAnsi="Times New Roman" w:cs="Times New Roman"/>
                <w:bCs/>
              </w:rPr>
              <w:t xml:space="preserve">provides funding and requires </w:t>
            </w:r>
            <w:r w:rsidR="00AE40BE">
              <w:rPr>
                <w:rFonts w:ascii="Times New Roman" w:eastAsia="Times New Roman" w:hAnsi="Times New Roman" w:cs="Times New Roman"/>
                <w:bCs/>
              </w:rPr>
              <w:t>higher education institutions</w:t>
            </w:r>
            <w:r w:rsidRPr="00C1472A">
              <w:rPr>
                <w:rFonts w:ascii="Times New Roman" w:eastAsia="Times New Roman" w:hAnsi="Times New Roman" w:cs="Times New Roman"/>
                <w:bCs/>
              </w:rPr>
              <w:t xml:space="preserve"> to</w:t>
            </w:r>
            <w:r w:rsidR="00164A13">
              <w:rPr>
                <w:rFonts w:ascii="Times New Roman" w:eastAsia="Times New Roman" w:hAnsi="Times New Roman" w:cs="Times New Roman"/>
                <w:bCs/>
              </w:rPr>
              <w:t xml:space="preserve"> implement inclusive curriculum and to</w:t>
            </w:r>
            <w:r w:rsidRPr="00C1472A">
              <w:rPr>
                <w:rFonts w:ascii="Times New Roman" w:eastAsia="Times New Roman" w:hAnsi="Times New Roman" w:cs="Times New Roman"/>
                <w:bCs/>
              </w:rPr>
              <w:t xml:space="preserve"> tailor </w:t>
            </w:r>
            <w:r w:rsidR="0033084C" w:rsidRPr="00C1472A">
              <w:rPr>
                <w:rFonts w:ascii="Times New Roman" w:eastAsia="Times New Roman" w:hAnsi="Times New Roman" w:cs="Times New Roman"/>
                <w:bCs/>
              </w:rPr>
              <w:t>teaching and learning modes and methods</w:t>
            </w:r>
            <w:r w:rsidRPr="00C1472A">
              <w:rPr>
                <w:rFonts w:ascii="Times New Roman" w:eastAsia="Times New Roman" w:hAnsi="Times New Roman" w:cs="Times New Roman"/>
                <w:bCs/>
              </w:rPr>
              <w:t xml:space="preserve"> to the needs of students from underrepresented, disadvantaged and vulnerable groups.</w:t>
            </w:r>
          </w:p>
          <w:p w14:paraId="051DBE74" w14:textId="65DA183F" w:rsidR="00380A73" w:rsidRPr="00C1472A" w:rsidRDefault="00AE40BE">
            <w:pPr>
              <w:numPr>
                <w:ilvl w:val="0"/>
                <w:numId w:val="21"/>
              </w:numPr>
              <w:pBdr>
                <w:top w:val="nil"/>
                <w:left w:val="nil"/>
                <w:bottom w:val="nil"/>
                <w:right w:val="nil"/>
                <w:between w:val="nil"/>
              </w:pBdr>
              <w:jc w:val="both"/>
              <w:rPr>
                <w:rFonts w:ascii="Times New Roman" w:eastAsia="Times New Roman" w:hAnsi="Times New Roman" w:cs="Times New Roman"/>
                <w:bCs/>
              </w:rPr>
            </w:pPr>
            <w:r w:rsidRPr="00C1472A">
              <w:rPr>
                <w:rFonts w:ascii="Times New Roman" w:eastAsia="Times New Roman" w:hAnsi="Times New Roman" w:cs="Times New Roman"/>
                <w:bCs/>
              </w:rPr>
              <w:t>P</w:t>
            </w:r>
            <w:r>
              <w:rPr>
                <w:rFonts w:ascii="Times New Roman" w:eastAsia="Times New Roman" w:hAnsi="Times New Roman" w:cs="Times New Roman"/>
                <w:bCs/>
              </w:rPr>
              <w:t>ublic authority</w:t>
            </w:r>
            <w:r w:rsidR="00380A73" w:rsidRPr="00C1472A">
              <w:rPr>
                <w:rFonts w:ascii="Times New Roman" w:eastAsia="Times New Roman" w:hAnsi="Times New Roman" w:cs="Times New Roman"/>
                <w:bCs/>
              </w:rPr>
              <w:t xml:space="preserve"> </w:t>
            </w:r>
            <w:r w:rsidR="005271F1">
              <w:rPr>
                <w:rFonts w:ascii="Times New Roman" w:eastAsia="Times New Roman" w:hAnsi="Times New Roman" w:cs="Times New Roman"/>
                <w:bCs/>
              </w:rPr>
              <w:t xml:space="preserve">provides support for the development of </w:t>
            </w:r>
            <w:r w:rsidR="001F3737">
              <w:rPr>
                <w:rFonts w:ascii="Times New Roman" w:eastAsia="Times New Roman" w:hAnsi="Times New Roman" w:cs="Times New Roman"/>
                <w:bCs/>
              </w:rPr>
              <w:t>tailored</w:t>
            </w:r>
            <w:r w:rsidR="00380A73" w:rsidRPr="00C1472A">
              <w:rPr>
                <w:rFonts w:ascii="Times New Roman" w:eastAsia="Times New Roman" w:hAnsi="Times New Roman" w:cs="Times New Roman"/>
                <w:bCs/>
              </w:rPr>
              <w:t xml:space="preserve"> programmes or modules for underrepresented, disadvantaged and vulnerable students</w:t>
            </w:r>
            <w:r w:rsidR="003F6251" w:rsidRPr="00C1472A">
              <w:rPr>
                <w:rFonts w:ascii="Times New Roman" w:eastAsia="Times New Roman" w:hAnsi="Times New Roman" w:cs="Times New Roman"/>
                <w:bCs/>
              </w:rPr>
              <w:t xml:space="preserve"> and staff in order to </w:t>
            </w:r>
            <w:r w:rsidR="00246F40" w:rsidRPr="00C1472A">
              <w:rPr>
                <w:rFonts w:ascii="Times New Roman" w:eastAsia="Times New Roman" w:hAnsi="Times New Roman" w:cs="Times New Roman"/>
                <w:bCs/>
              </w:rPr>
              <w:t xml:space="preserve">enhance </w:t>
            </w:r>
            <w:r w:rsidR="003F6251" w:rsidRPr="00C1472A">
              <w:rPr>
                <w:rFonts w:ascii="Times New Roman" w:eastAsia="Times New Roman" w:hAnsi="Times New Roman" w:cs="Times New Roman"/>
                <w:bCs/>
              </w:rPr>
              <w:t xml:space="preserve">their integration </w:t>
            </w:r>
            <w:r w:rsidR="00246F40" w:rsidRPr="00C1472A">
              <w:rPr>
                <w:rFonts w:ascii="Times New Roman" w:eastAsia="Times New Roman" w:hAnsi="Times New Roman" w:cs="Times New Roman"/>
                <w:bCs/>
              </w:rPr>
              <w:t xml:space="preserve">within </w:t>
            </w:r>
            <w:r>
              <w:rPr>
                <w:rFonts w:ascii="Times New Roman" w:eastAsia="Times New Roman" w:hAnsi="Times New Roman" w:cs="Times New Roman"/>
                <w:bCs/>
              </w:rPr>
              <w:t>higher education institutions</w:t>
            </w:r>
            <w:r w:rsidR="00246F40" w:rsidRPr="00C1472A">
              <w:rPr>
                <w:rFonts w:ascii="Times New Roman" w:eastAsia="Times New Roman" w:hAnsi="Times New Roman" w:cs="Times New Roman"/>
                <w:bCs/>
              </w:rPr>
              <w:t xml:space="preserve">. </w:t>
            </w:r>
          </w:p>
          <w:p w14:paraId="61201D1D" w14:textId="26B0BA0B" w:rsidR="00380A73" w:rsidRPr="00C1472A" w:rsidRDefault="00AE40BE">
            <w:pPr>
              <w:numPr>
                <w:ilvl w:val="0"/>
                <w:numId w:val="21"/>
              </w:numPr>
              <w:pBdr>
                <w:top w:val="nil"/>
                <w:left w:val="nil"/>
                <w:bottom w:val="nil"/>
                <w:right w:val="nil"/>
                <w:between w:val="nil"/>
              </w:pBdr>
              <w:jc w:val="both"/>
              <w:rPr>
                <w:rFonts w:ascii="Times New Roman" w:eastAsia="Times New Roman" w:hAnsi="Times New Roman" w:cs="Times New Roman"/>
                <w:bCs/>
              </w:rPr>
            </w:pPr>
            <w:r w:rsidRPr="00C1472A">
              <w:rPr>
                <w:rFonts w:ascii="Times New Roman" w:eastAsia="Times New Roman" w:hAnsi="Times New Roman" w:cs="Times New Roman"/>
                <w:bCs/>
              </w:rPr>
              <w:t>P</w:t>
            </w:r>
            <w:r>
              <w:rPr>
                <w:rFonts w:ascii="Times New Roman" w:eastAsia="Times New Roman" w:hAnsi="Times New Roman" w:cs="Times New Roman"/>
                <w:bCs/>
              </w:rPr>
              <w:t>ublic authority</w:t>
            </w:r>
            <w:r w:rsidR="00380A73" w:rsidRPr="00C1472A">
              <w:rPr>
                <w:rFonts w:ascii="Times New Roman" w:eastAsia="Times New Roman" w:hAnsi="Times New Roman" w:cs="Times New Roman"/>
                <w:bCs/>
              </w:rPr>
              <w:t xml:space="preserve"> provides legal regulations for flexible pathways </w:t>
            </w:r>
            <w:r w:rsidR="00705C49" w:rsidRPr="00C1472A">
              <w:rPr>
                <w:rFonts w:ascii="Times New Roman" w:eastAsia="Times New Roman" w:hAnsi="Times New Roman" w:cs="Times New Roman"/>
                <w:bCs/>
              </w:rPr>
              <w:t xml:space="preserve">to access </w:t>
            </w:r>
            <w:r w:rsidR="00515591" w:rsidRPr="00C1472A">
              <w:rPr>
                <w:rFonts w:ascii="Times New Roman" w:eastAsia="Times New Roman" w:hAnsi="Times New Roman" w:cs="Times New Roman"/>
                <w:bCs/>
              </w:rPr>
              <w:t>in</w:t>
            </w:r>
            <w:r w:rsidR="00705C49" w:rsidRPr="00C1472A">
              <w:rPr>
                <w:rFonts w:ascii="Times New Roman" w:eastAsia="Times New Roman" w:hAnsi="Times New Roman" w:cs="Times New Roman"/>
                <w:bCs/>
              </w:rPr>
              <w:t>to</w:t>
            </w:r>
            <w:r w:rsidR="00515591" w:rsidRPr="00C1472A">
              <w:rPr>
                <w:rFonts w:ascii="Times New Roman" w:eastAsia="Times New Roman" w:hAnsi="Times New Roman" w:cs="Times New Roman"/>
                <w:bCs/>
              </w:rPr>
              <w:t>,</w:t>
            </w:r>
            <w:r w:rsidR="00705C49" w:rsidRPr="00C1472A">
              <w:rPr>
                <w:rFonts w:ascii="Times New Roman" w:eastAsia="Times New Roman" w:hAnsi="Times New Roman" w:cs="Times New Roman"/>
                <w:bCs/>
              </w:rPr>
              <w:t xml:space="preserve"> progress through </w:t>
            </w:r>
            <w:r w:rsidR="00515591" w:rsidRPr="00C1472A">
              <w:rPr>
                <w:rFonts w:ascii="Times New Roman" w:eastAsia="Times New Roman" w:hAnsi="Times New Roman" w:cs="Times New Roman"/>
                <w:bCs/>
              </w:rPr>
              <w:t>and completing</w:t>
            </w:r>
            <w:r w:rsidR="00705C49" w:rsidRPr="00C1472A">
              <w:rPr>
                <w:rFonts w:ascii="Times New Roman" w:eastAsia="Times New Roman" w:hAnsi="Times New Roman" w:cs="Times New Roman"/>
                <w:bCs/>
              </w:rPr>
              <w:t xml:space="preserve"> </w:t>
            </w:r>
            <w:r w:rsidR="00A7575E" w:rsidRPr="00C1472A">
              <w:rPr>
                <w:rFonts w:ascii="Times New Roman" w:eastAsia="Times New Roman" w:hAnsi="Times New Roman" w:cs="Times New Roman"/>
                <w:bCs/>
              </w:rPr>
              <w:t xml:space="preserve">higher </w:t>
            </w:r>
            <w:r w:rsidR="00705C49" w:rsidRPr="00C1472A">
              <w:rPr>
                <w:rFonts w:ascii="Times New Roman" w:eastAsia="Times New Roman" w:hAnsi="Times New Roman" w:cs="Times New Roman"/>
                <w:bCs/>
              </w:rPr>
              <w:t>education.</w:t>
            </w:r>
          </w:p>
          <w:p w14:paraId="2809CB7C" w14:textId="59F37A44" w:rsidR="00380A73" w:rsidRPr="00114B6D" w:rsidRDefault="00AE40BE">
            <w:pPr>
              <w:numPr>
                <w:ilvl w:val="0"/>
                <w:numId w:val="21"/>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380A73" w:rsidRPr="00114B6D">
              <w:rPr>
                <w:rFonts w:ascii="Times New Roman" w:eastAsia="Times New Roman" w:hAnsi="Times New Roman" w:cs="Times New Roman"/>
                <w:bCs/>
              </w:rPr>
              <w:t xml:space="preserve"> </w:t>
            </w:r>
            <w:r w:rsidR="000C4211">
              <w:rPr>
                <w:rFonts w:ascii="Times New Roman" w:eastAsia="Times New Roman" w:hAnsi="Times New Roman" w:cs="Times New Roman"/>
                <w:bCs/>
              </w:rPr>
              <w:t>provides funding to</w:t>
            </w:r>
            <w:r w:rsidR="00870C6B" w:rsidRPr="00114B6D">
              <w:rPr>
                <w:rFonts w:ascii="Times New Roman" w:eastAsia="Times New Roman" w:hAnsi="Times New Roman" w:cs="Times New Roman"/>
                <w:bCs/>
              </w:rPr>
              <w:t xml:space="preserve"> </w:t>
            </w:r>
            <w:r w:rsidRPr="00114B6D">
              <w:rPr>
                <w:rFonts w:ascii="Times New Roman" w:eastAsia="Times New Roman" w:hAnsi="Times New Roman" w:cs="Times New Roman"/>
                <w:bCs/>
              </w:rPr>
              <w:t>higher education institutions</w:t>
            </w:r>
            <w:r w:rsidR="00870C6B" w:rsidRPr="00114B6D">
              <w:rPr>
                <w:rFonts w:ascii="Times New Roman" w:eastAsia="Times New Roman" w:hAnsi="Times New Roman" w:cs="Times New Roman"/>
                <w:bCs/>
              </w:rPr>
              <w:t xml:space="preserve"> to </w:t>
            </w:r>
            <w:r w:rsidR="00380A73" w:rsidRPr="00114B6D">
              <w:rPr>
                <w:rFonts w:ascii="Times New Roman" w:eastAsia="Times New Roman" w:hAnsi="Times New Roman" w:cs="Times New Roman"/>
                <w:bCs/>
              </w:rPr>
              <w:t>have a contact point</w:t>
            </w:r>
            <w:r w:rsidR="000C4211">
              <w:rPr>
                <w:rFonts w:ascii="Times New Roman" w:eastAsia="Times New Roman" w:hAnsi="Times New Roman" w:cs="Times New Roman"/>
                <w:bCs/>
              </w:rPr>
              <w:t xml:space="preserve"> </w:t>
            </w:r>
            <w:r w:rsidR="000476A4">
              <w:rPr>
                <w:rFonts w:ascii="Times New Roman" w:eastAsia="Times New Roman" w:hAnsi="Times New Roman" w:cs="Times New Roman"/>
                <w:bCs/>
              </w:rPr>
              <w:t xml:space="preserve">for </w:t>
            </w:r>
            <w:r w:rsidR="000476A4" w:rsidRPr="00114B6D">
              <w:rPr>
                <w:rFonts w:ascii="Times New Roman" w:eastAsia="Times New Roman" w:hAnsi="Times New Roman" w:cs="Times New Roman"/>
                <w:bCs/>
              </w:rPr>
              <w:t>dealing</w:t>
            </w:r>
            <w:r w:rsidR="00380A73" w:rsidRPr="00114B6D">
              <w:rPr>
                <w:rFonts w:ascii="Times New Roman" w:eastAsia="Times New Roman" w:hAnsi="Times New Roman" w:cs="Times New Roman"/>
                <w:bCs/>
              </w:rPr>
              <w:t xml:space="preserve"> with diversity, equity and inclusion </w:t>
            </w:r>
            <w:r w:rsidR="00246F40" w:rsidRPr="00114B6D">
              <w:rPr>
                <w:rFonts w:ascii="Times New Roman" w:eastAsia="Times New Roman" w:hAnsi="Times New Roman" w:cs="Times New Roman"/>
                <w:bCs/>
              </w:rPr>
              <w:t>of students</w:t>
            </w:r>
            <w:r w:rsidR="005271F1" w:rsidRPr="00114B6D">
              <w:rPr>
                <w:rFonts w:ascii="Times New Roman" w:eastAsia="Times New Roman" w:hAnsi="Times New Roman" w:cs="Times New Roman"/>
                <w:bCs/>
              </w:rPr>
              <w:t xml:space="preserve"> and staff.</w:t>
            </w:r>
            <w:r w:rsidR="00246F40" w:rsidRPr="00114B6D">
              <w:rPr>
                <w:rFonts w:ascii="Times New Roman" w:eastAsia="Times New Roman" w:hAnsi="Times New Roman" w:cs="Times New Roman"/>
                <w:bCs/>
              </w:rPr>
              <w:t xml:space="preserve"> </w:t>
            </w:r>
          </w:p>
          <w:p w14:paraId="4049788E" w14:textId="2BFEBE5A" w:rsidR="00CD691C" w:rsidRPr="005F5975" w:rsidRDefault="00AE40BE" w:rsidP="00CE3776">
            <w:pPr>
              <w:pStyle w:val="CommentText"/>
              <w:numPr>
                <w:ilvl w:val="0"/>
                <w:numId w:val="21"/>
              </w:numPr>
              <w:rPr>
                <w:rFonts w:ascii="Times New Roman" w:eastAsia="Times New Roman" w:hAnsi="Times New Roman" w:cs="Times New Roman"/>
                <w:bCs/>
              </w:rPr>
            </w:pPr>
            <w:r w:rsidRPr="00114B6D">
              <w:rPr>
                <w:rFonts w:ascii="Times New Roman" w:eastAsia="Times New Roman" w:hAnsi="Times New Roman" w:cs="Times New Roman"/>
                <w:bCs/>
                <w:sz w:val="22"/>
                <w:szCs w:val="22"/>
              </w:rPr>
              <w:t>Public authority</w:t>
            </w:r>
            <w:r w:rsidR="00380A73" w:rsidRPr="00114B6D">
              <w:rPr>
                <w:rFonts w:ascii="Times New Roman" w:eastAsia="Times New Roman" w:hAnsi="Times New Roman" w:cs="Times New Roman"/>
                <w:bCs/>
                <w:sz w:val="22"/>
                <w:szCs w:val="22"/>
              </w:rPr>
              <w:t xml:space="preserve"> </w:t>
            </w:r>
            <w:r w:rsidR="000476A4">
              <w:rPr>
                <w:rFonts w:ascii="Times New Roman" w:eastAsia="Times New Roman" w:hAnsi="Times New Roman" w:cs="Times New Roman"/>
                <w:bCs/>
                <w:sz w:val="22"/>
                <w:szCs w:val="22"/>
              </w:rPr>
              <w:t xml:space="preserve">provides legal framework that </w:t>
            </w:r>
            <w:r w:rsidR="00705C49" w:rsidRPr="00114B6D">
              <w:rPr>
                <w:rFonts w:ascii="Times New Roman" w:eastAsia="Times New Roman" w:hAnsi="Times New Roman" w:cs="Times New Roman"/>
                <w:bCs/>
                <w:sz w:val="22"/>
                <w:szCs w:val="22"/>
              </w:rPr>
              <w:t>value</w:t>
            </w:r>
            <w:r w:rsidR="00380A73" w:rsidRPr="00114B6D">
              <w:rPr>
                <w:rFonts w:ascii="Times New Roman" w:eastAsia="Times New Roman" w:hAnsi="Times New Roman" w:cs="Times New Roman"/>
                <w:bCs/>
                <w:sz w:val="22"/>
                <w:szCs w:val="22"/>
              </w:rPr>
              <w:t>s</w:t>
            </w:r>
            <w:r w:rsidR="00380A73" w:rsidRPr="005F5975">
              <w:rPr>
                <w:rFonts w:ascii="Times New Roman" w:eastAsia="Times New Roman" w:hAnsi="Times New Roman" w:cs="Times New Roman"/>
                <w:bCs/>
                <w:sz w:val="22"/>
                <w:szCs w:val="22"/>
              </w:rPr>
              <w:t xml:space="preserve"> </w:t>
            </w:r>
            <w:r w:rsidR="005271F1">
              <w:rPr>
                <w:rFonts w:ascii="Times New Roman" w:eastAsia="Times New Roman" w:hAnsi="Times New Roman" w:cs="Times New Roman"/>
                <w:bCs/>
                <w:sz w:val="22"/>
                <w:szCs w:val="22"/>
              </w:rPr>
              <w:t xml:space="preserve">the outcomes of </w:t>
            </w:r>
            <w:r w:rsidR="00380A73" w:rsidRPr="005F5975">
              <w:rPr>
                <w:rFonts w:ascii="Times New Roman" w:eastAsia="Times New Roman" w:hAnsi="Times New Roman" w:cs="Times New Roman"/>
                <w:bCs/>
                <w:sz w:val="22"/>
                <w:szCs w:val="22"/>
              </w:rPr>
              <w:t>ful</w:t>
            </w:r>
            <w:r w:rsidR="000476A4">
              <w:rPr>
                <w:rFonts w:ascii="Times New Roman" w:eastAsia="Times New Roman" w:hAnsi="Times New Roman" w:cs="Times New Roman"/>
                <w:bCs/>
                <w:sz w:val="22"/>
                <w:szCs w:val="22"/>
              </w:rPr>
              <w:t>l-</w:t>
            </w:r>
            <w:r w:rsidR="00380A73" w:rsidRPr="005F5975">
              <w:rPr>
                <w:rFonts w:ascii="Times New Roman" w:eastAsia="Times New Roman" w:hAnsi="Times New Roman" w:cs="Times New Roman"/>
                <w:bCs/>
                <w:sz w:val="22"/>
                <w:szCs w:val="22"/>
              </w:rPr>
              <w:t>time and part</w:t>
            </w:r>
            <w:r w:rsidR="000476A4">
              <w:rPr>
                <w:rFonts w:ascii="Times New Roman" w:eastAsia="Times New Roman" w:hAnsi="Times New Roman" w:cs="Times New Roman"/>
                <w:bCs/>
                <w:sz w:val="22"/>
                <w:szCs w:val="22"/>
              </w:rPr>
              <w:t>-</w:t>
            </w:r>
            <w:r w:rsidR="00380A73" w:rsidRPr="005F5975">
              <w:rPr>
                <w:rFonts w:ascii="Times New Roman" w:eastAsia="Times New Roman" w:hAnsi="Times New Roman" w:cs="Times New Roman"/>
                <w:bCs/>
                <w:sz w:val="22"/>
                <w:szCs w:val="22"/>
              </w:rPr>
              <w:t>time</w:t>
            </w:r>
            <w:r w:rsidR="00705C49" w:rsidRPr="005F5975">
              <w:rPr>
                <w:rFonts w:ascii="Times New Roman" w:eastAsia="Times New Roman" w:hAnsi="Times New Roman" w:cs="Times New Roman"/>
                <w:bCs/>
                <w:sz w:val="22"/>
                <w:szCs w:val="22"/>
              </w:rPr>
              <w:t xml:space="preserve"> studies</w:t>
            </w:r>
            <w:r w:rsidR="00380A73" w:rsidRPr="005F5975">
              <w:rPr>
                <w:rFonts w:ascii="Times New Roman" w:eastAsia="Times New Roman" w:hAnsi="Times New Roman" w:cs="Times New Roman"/>
                <w:bCs/>
                <w:sz w:val="22"/>
                <w:szCs w:val="22"/>
              </w:rPr>
              <w:t xml:space="preserve"> equally</w:t>
            </w:r>
            <w:r w:rsidR="005271F1">
              <w:rPr>
                <w:rFonts w:ascii="Times New Roman" w:eastAsia="Times New Roman" w:hAnsi="Times New Roman" w:cs="Times New Roman"/>
                <w:bCs/>
                <w:sz w:val="22"/>
                <w:szCs w:val="22"/>
              </w:rPr>
              <w:t>.</w:t>
            </w:r>
          </w:p>
          <w:p w14:paraId="7E8DEBDF" w14:textId="051C390F" w:rsidR="005E271C" w:rsidRPr="00C1472A" w:rsidRDefault="005E271C" w:rsidP="005E271C">
            <w:pPr>
              <w:pStyle w:val="CommentText"/>
              <w:ind w:left="720"/>
              <w:rPr>
                <w:rFonts w:ascii="Times New Roman" w:eastAsia="Times New Roman" w:hAnsi="Times New Roman" w:cs="Times New Roman"/>
                <w:bCs/>
              </w:rPr>
            </w:pPr>
          </w:p>
        </w:tc>
      </w:tr>
      <w:tr w:rsidR="00C1472A" w:rsidRPr="00C1472A" w14:paraId="25046C4F" w14:textId="77777777" w:rsidTr="00C1472A">
        <w:tc>
          <w:tcPr>
            <w:tcW w:w="9010" w:type="dxa"/>
            <w:shd w:val="clear" w:color="auto" w:fill="auto"/>
          </w:tcPr>
          <w:p w14:paraId="41E927CA" w14:textId="76484978" w:rsidR="005B002D" w:rsidRPr="00C1472A" w:rsidRDefault="005B002D" w:rsidP="00732998">
            <w:pPr>
              <w:rPr>
                <w:rFonts w:ascii="Times New Roman" w:eastAsia="Times New Roman" w:hAnsi="Times New Roman" w:cs="Times New Roman"/>
                <w:b/>
              </w:rPr>
            </w:pPr>
            <w:r w:rsidRPr="00C1472A">
              <w:rPr>
                <w:rFonts w:ascii="Times New Roman" w:eastAsia="Times New Roman" w:hAnsi="Times New Roman" w:cs="Times New Roman"/>
                <w:b/>
              </w:rPr>
              <w:t xml:space="preserve">2. </w:t>
            </w:r>
            <w:r w:rsidR="00732998" w:rsidRPr="00C1472A">
              <w:rPr>
                <w:rFonts w:ascii="Times New Roman" w:eastAsia="Times New Roman" w:hAnsi="Times New Roman" w:cs="Times New Roman"/>
                <w:b/>
              </w:rPr>
              <w:t xml:space="preserve">Candidates can enter higher education </w:t>
            </w:r>
            <w:r w:rsidR="00C603FC" w:rsidRPr="00C1472A">
              <w:rPr>
                <w:rFonts w:ascii="Times New Roman" w:eastAsia="Times New Roman" w:hAnsi="Times New Roman" w:cs="Times New Roman"/>
                <w:b/>
              </w:rPr>
              <w:t>based on</w:t>
            </w:r>
            <w:r w:rsidR="00732998" w:rsidRPr="00C1472A">
              <w:rPr>
                <w:rFonts w:ascii="Times New Roman" w:eastAsia="Times New Roman" w:hAnsi="Times New Roman" w:cs="Times New Roman"/>
                <w:b/>
              </w:rPr>
              <w:t xml:space="preserve"> recognition of </w:t>
            </w:r>
            <w:r w:rsidR="00C35D9A" w:rsidRPr="00C1472A">
              <w:rPr>
                <w:rFonts w:ascii="Times New Roman" w:eastAsia="Times New Roman" w:hAnsi="Times New Roman" w:cs="Times New Roman"/>
                <w:b/>
              </w:rPr>
              <w:t xml:space="preserve">prior </w:t>
            </w:r>
            <w:r w:rsidR="00732998" w:rsidRPr="00C1472A">
              <w:rPr>
                <w:rFonts w:ascii="Times New Roman" w:eastAsia="Times New Roman" w:hAnsi="Times New Roman" w:cs="Times New Roman"/>
                <w:b/>
              </w:rPr>
              <w:t>non-formal and/or informal learning and this applies to all higher education institutions</w:t>
            </w:r>
            <w:r w:rsidR="00C603FC" w:rsidRPr="00C1472A">
              <w:rPr>
                <w:rFonts w:ascii="Times New Roman" w:eastAsia="Times New Roman" w:hAnsi="Times New Roman" w:cs="Times New Roman"/>
                <w:b/>
              </w:rPr>
              <w:t xml:space="preserve"> (Eurydice, 2022)</w:t>
            </w:r>
            <w:r w:rsidR="00732998" w:rsidRPr="00C1472A">
              <w:rPr>
                <w:rFonts w:ascii="Times New Roman" w:eastAsia="Times New Roman" w:hAnsi="Times New Roman" w:cs="Times New Roman"/>
                <w:b/>
              </w:rPr>
              <w:t>.</w:t>
            </w:r>
          </w:p>
          <w:p w14:paraId="73257776" w14:textId="38DD2247" w:rsidR="005271F1" w:rsidRDefault="00D43F1C">
            <w:pPr>
              <w:numPr>
                <w:ilvl w:val="0"/>
                <w:numId w:val="13"/>
              </w:numPr>
              <w:pBdr>
                <w:top w:val="nil"/>
                <w:left w:val="nil"/>
                <w:bottom w:val="nil"/>
                <w:right w:val="nil"/>
                <w:between w:val="nil"/>
              </w:pBdr>
              <w:ind w:left="720"/>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AF6CDC">
              <w:rPr>
                <w:rFonts w:ascii="Times New Roman" w:eastAsia="Times New Roman" w:hAnsi="Times New Roman" w:cs="Times New Roman"/>
                <w:bCs/>
              </w:rPr>
              <w:t xml:space="preserve"> has elaborated</w:t>
            </w:r>
            <w:r w:rsidR="005B002D" w:rsidRPr="00C1472A">
              <w:rPr>
                <w:rFonts w:ascii="Times New Roman" w:eastAsia="Times New Roman" w:hAnsi="Times New Roman" w:cs="Times New Roman"/>
                <w:bCs/>
              </w:rPr>
              <w:t xml:space="preserve"> </w:t>
            </w:r>
            <w:r w:rsidR="00FB5499" w:rsidRPr="00C1472A">
              <w:rPr>
                <w:rFonts w:ascii="Times New Roman" w:eastAsia="Times New Roman" w:hAnsi="Times New Roman" w:cs="Times New Roman"/>
                <w:bCs/>
              </w:rPr>
              <w:t>a</w:t>
            </w:r>
            <w:r w:rsidR="005B002D" w:rsidRPr="00C1472A">
              <w:rPr>
                <w:rFonts w:ascii="Times New Roman" w:eastAsia="Times New Roman" w:hAnsi="Times New Roman" w:cs="Times New Roman"/>
                <w:bCs/>
              </w:rPr>
              <w:t xml:space="preserve"> </w:t>
            </w:r>
            <w:r w:rsidR="00FB5499" w:rsidRPr="00C1472A">
              <w:rPr>
                <w:rFonts w:ascii="Times New Roman" w:eastAsia="Times New Roman" w:hAnsi="Times New Roman" w:cs="Times New Roman"/>
                <w:bCs/>
              </w:rPr>
              <w:t>national policy</w:t>
            </w:r>
            <w:r w:rsidR="005B002D" w:rsidRPr="00C1472A">
              <w:rPr>
                <w:rFonts w:ascii="Times New Roman" w:eastAsia="Times New Roman" w:hAnsi="Times New Roman" w:cs="Times New Roman"/>
                <w:bCs/>
              </w:rPr>
              <w:t xml:space="preserve"> of recognizing </w:t>
            </w:r>
            <w:r w:rsidR="00C35D9A" w:rsidRPr="00C1472A">
              <w:rPr>
                <w:rFonts w:ascii="Times New Roman" w:eastAsia="Times New Roman" w:hAnsi="Times New Roman" w:cs="Times New Roman"/>
                <w:bCs/>
              </w:rPr>
              <w:t xml:space="preserve">prior </w:t>
            </w:r>
            <w:r w:rsidR="00FB5499" w:rsidRPr="00C1472A">
              <w:rPr>
                <w:rFonts w:ascii="Times New Roman" w:eastAsia="Times New Roman" w:hAnsi="Times New Roman" w:cs="Times New Roman"/>
                <w:bCs/>
              </w:rPr>
              <w:t>non-</w:t>
            </w:r>
            <w:r w:rsidR="005B002D" w:rsidRPr="00C1472A">
              <w:rPr>
                <w:rFonts w:ascii="Times New Roman" w:eastAsia="Times New Roman" w:hAnsi="Times New Roman" w:cs="Times New Roman"/>
                <w:bCs/>
              </w:rPr>
              <w:t>formal and/or informal learning for the purpose of accessing</w:t>
            </w:r>
            <w:r w:rsidR="00BC510D" w:rsidRPr="00C1472A">
              <w:rPr>
                <w:rFonts w:ascii="Times New Roman" w:eastAsia="Times New Roman" w:hAnsi="Times New Roman" w:cs="Times New Roman"/>
                <w:bCs/>
              </w:rPr>
              <w:t xml:space="preserve"> </w:t>
            </w:r>
            <w:r w:rsidR="005B002D" w:rsidRPr="00C1472A">
              <w:rPr>
                <w:rFonts w:ascii="Times New Roman" w:eastAsia="Times New Roman" w:hAnsi="Times New Roman" w:cs="Times New Roman"/>
                <w:bCs/>
              </w:rPr>
              <w:t>higher education.</w:t>
            </w:r>
          </w:p>
          <w:p w14:paraId="6E9653B0" w14:textId="04F604B1" w:rsidR="005B002D" w:rsidRPr="00C1472A" w:rsidRDefault="00EF368D">
            <w:pPr>
              <w:numPr>
                <w:ilvl w:val="0"/>
                <w:numId w:val="13"/>
              </w:numPr>
              <w:pBdr>
                <w:top w:val="nil"/>
                <w:left w:val="nil"/>
                <w:bottom w:val="nil"/>
                <w:right w:val="nil"/>
                <w:between w:val="nil"/>
              </w:pBdr>
              <w:ind w:left="720"/>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AF6CDC">
              <w:rPr>
                <w:rFonts w:ascii="Times New Roman" w:eastAsia="Times New Roman" w:hAnsi="Times New Roman" w:cs="Times New Roman"/>
                <w:bCs/>
              </w:rPr>
              <w:t xml:space="preserve"> ensure</w:t>
            </w:r>
            <w:r w:rsidR="002442B5">
              <w:rPr>
                <w:rFonts w:ascii="Times New Roman" w:eastAsia="Times New Roman" w:hAnsi="Times New Roman" w:cs="Times New Roman"/>
                <w:bCs/>
              </w:rPr>
              <w:t>s</w:t>
            </w:r>
            <w:r w:rsidR="00AF6CDC">
              <w:rPr>
                <w:rFonts w:ascii="Times New Roman" w:eastAsia="Times New Roman" w:hAnsi="Times New Roman" w:cs="Times New Roman"/>
                <w:bCs/>
              </w:rPr>
              <w:t xml:space="preserve"> that </w:t>
            </w:r>
            <w:r w:rsidR="00BC510D" w:rsidRPr="00C1472A">
              <w:rPr>
                <w:rFonts w:ascii="Times New Roman" w:eastAsia="Times New Roman" w:hAnsi="Times New Roman" w:cs="Times New Roman"/>
                <w:bCs/>
              </w:rPr>
              <w:t>National Qualification</w:t>
            </w:r>
            <w:r w:rsidR="00FB5499" w:rsidRPr="00C1472A">
              <w:rPr>
                <w:rFonts w:ascii="Times New Roman" w:eastAsia="Times New Roman" w:hAnsi="Times New Roman" w:cs="Times New Roman"/>
                <w:bCs/>
              </w:rPr>
              <w:t>s</w:t>
            </w:r>
            <w:r w:rsidR="00BC510D" w:rsidRPr="00C1472A">
              <w:rPr>
                <w:rFonts w:ascii="Times New Roman" w:eastAsia="Times New Roman" w:hAnsi="Times New Roman" w:cs="Times New Roman"/>
                <w:bCs/>
              </w:rPr>
              <w:t xml:space="preserve"> Framework facilitate</w:t>
            </w:r>
            <w:r w:rsidR="00AF6CDC">
              <w:rPr>
                <w:rFonts w:ascii="Times New Roman" w:eastAsia="Times New Roman" w:hAnsi="Times New Roman" w:cs="Times New Roman"/>
                <w:bCs/>
              </w:rPr>
              <w:t>s</w:t>
            </w:r>
            <w:r w:rsidR="00FB5499" w:rsidRPr="00C1472A">
              <w:rPr>
                <w:rFonts w:ascii="Times New Roman" w:eastAsia="Times New Roman" w:hAnsi="Times New Roman" w:cs="Times New Roman"/>
                <w:bCs/>
              </w:rPr>
              <w:t xml:space="preserve"> recognition of </w:t>
            </w:r>
            <w:r w:rsidR="00C35D9A" w:rsidRPr="00C1472A">
              <w:rPr>
                <w:rFonts w:ascii="Times New Roman" w:eastAsia="Times New Roman" w:hAnsi="Times New Roman" w:cs="Times New Roman"/>
                <w:bCs/>
              </w:rPr>
              <w:t>prior non-</w:t>
            </w:r>
            <w:r w:rsidR="00FB5499" w:rsidRPr="00C1472A">
              <w:rPr>
                <w:rFonts w:ascii="Times New Roman" w:eastAsia="Times New Roman" w:hAnsi="Times New Roman" w:cs="Times New Roman"/>
                <w:bCs/>
              </w:rPr>
              <w:t>formal and/or informal learning.</w:t>
            </w:r>
          </w:p>
          <w:p w14:paraId="1B5CFB38" w14:textId="15EF6944" w:rsidR="00152FC0" w:rsidRDefault="00EF368D">
            <w:pPr>
              <w:numPr>
                <w:ilvl w:val="0"/>
                <w:numId w:val="13"/>
              </w:numPr>
              <w:pBdr>
                <w:top w:val="nil"/>
                <w:left w:val="nil"/>
                <w:bottom w:val="nil"/>
                <w:right w:val="nil"/>
                <w:between w:val="nil"/>
              </w:pBdr>
              <w:ind w:left="720"/>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5B002D" w:rsidRPr="00C1472A">
              <w:rPr>
                <w:rFonts w:ascii="Times New Roman" w:eastAsia="Times New Roman" w:hAnsi="Times New Roman" w:cs="Times New Roman"/>
                <w:bCs/>
              </w:rPr>
              <w:t xml:space="preserve"> ensures the provision of legal regulations and funding to facilitate </w:t>
            </w:r>
            <w:r w:rsidR="00AF6CDC">
              <w:rPr>
                <w:rFonts w:ascii="Times New Roman" w:eastAsia="Times New Roman" w:hAnsi="Times New Roman" w:cs="Times New Roman"/>
                <w:bCs/>
              </w:rPr>
              <w:t>the</w:t>
            </w:r>
            <w:r w:rsidR="005B002D" w:rsidRPr="00C1472A">
              <w:rPr>
                <w:rFonts w:ascii="Times New Roman" w:eastAsia="Times New Roman" w:hAnsi="Times New Roman" w:cs="Times New Roman"/>
                <w:bCs/>
              </w:rPr>
              <w:t xml:space="preserve"> </w:t>
            </w:r>
            <w:r w:rsidR="00C35D9A" w:rsidRPr="00C1472A">
              <w:rPr>
                <w:rFonts w:ascii="Times New Roman" w:eastAsia="Times New Roman" w:hAnsi="Times New Roman" w:cs="Times New Roman"/>
                <w:bCs/>
              </w:rPr>
              <w:t>recognition of prior non-formal and/or informal learning</w:t>
            </w:r>
            <w:r w:rsidR="005B002D" w:rsidRPr="00C1472A">
              <w:rPr>
                <w:rFonts w:ascii="Times New Roman" w:eastAsia="Times New Roman" w:hAnsi="Times New Roman" w:cs="Times New Roman"/>
                <w:bCs/>
              </w:rPr>
              <w:t xml:space="preserve"> for</w:t>
            </w:r>
            <w:r w:rsidR="00BC510D" w:rsidRPr="00C1472A">
              <w:rPr>
                <w:rFonts w:ascii="Times New Roman" w:eastAsia="Times New Roman" w:hAnsi="Times New Roman" w:cs="Times New Roman"/>
                <w:bCs/>
              </w:rPr>
              <w:t xml:space="preserve"> </w:t>
            </w:r>
            <w:r w:rsidR="00AF6CDC">
              <w:rPr>
                <w:rFonts w:ascii="Times New Roman" w:eastAsia="Times New Roman" w:hAnsi="Times New Roman" w:cs="Times New Roman"/>
                <w:bCs/>
              </w:rPr>
              <w:t xml:space="preserve">migrants, </w:t>
            </w:r>
            <w:r w:rsidR="000E2FFD" w:rsidRPr="00C1472A">
              <w:rPr>
                <w:rFonts w:ascii="Times New Roman" w:eastAsia="Times New Roman" w:hAnsi="Times New Roman" w:cs="Times New Roman"/>
                <w:bCs/>
              </w:rPr>
              <w:t>refugees</w:t>
            </w:r>
            <w:r w:rsidR="00AF6CDC">
              <w:rPr>
                <w:rFonts w:ascii="Times New Roman" w:eastAsia="Times New Roman" w:hAnsi="Times New Roman" w:cs="Times New Roman"/>
                <w:bCs/>
              </w:rPr>
              <w:t xml:space="preserve"> and</w:t>
            </w:r>
            <w:r w:rsidR="000E2FFD" w:rsidRPr="00C1472A">
              <w:rPr>
                <w:rFonts w:ascii="Times New Roman" w:eastAsia="Times New Roman" w:hAnsi="Times New Roman" w:cs="Times New Roman"/>
                <w:bCs/>
              </w:rPr>
              <w:t xml:space="preserve"> students </w:t>
            </w:r>
            <w:r w:rsidR="000E2FFD" w:rsidRPr="00C1472A">
              <w:rPr>
                <w:rFonts w:ascii="Times New Roman" w:eastAsia="Times New Roman" w:hAnsi="Times New Roman" w:cs="Times New Roman"/>
                <w:bCs/>
              </w:rPr>
              <w:lastRenderedPageBreak/>
              <w:t xml:space="preserve">with </w:t>
            </w:r>
            <w:r w:rsidR="00BC510D" w:rsidRPr="00C1472A">
              <w:rPr>
                <w:rFonts w:ascii="Times New Roman" w:eastAsia="Times New Roman" w:hAnsi="Times New Roman" w:cs="Times New Roman"/>
                <w:bCs/>
              </w:rPr>
              <w:t>a</w:t>
            </w:r>
            <w:r w:rsidR="005B002D" w:rsidRPr="00C1472A">
              <w:rPr>
                <w:rFonts w:ascii="Times New Roman" w:eastAsia="Times New Roman" w:hAnsi="Times New Roman" w:cs="Times New Roman"/>
                <w:bCs/>
              </w:rPr>
              <w:t xml:space="preserve"> refugee</w:t>
            </w:r>
            <w:r w:rsidR="00BC510D" w:rsidRPr="00C1472A">
              <w:rPr>
                <w:rFonts w:ascii="Times New Roman" w:eastAsia="Times New Roman" w:hAnsi="Times New Roman" w:cs="Times New Roman"/>
                <w:bCs/>
              </w:rPr>
              <w:t>-like background</w:t>
            </w:r>
            <w:r w:rsidR="005271F1">
              <w:rPr>
                <w:rFonts w:ascii="Times New Roman" w:eastAsia="Times New Roman" w:hAnsi="Times New Roman" w:cs="Times New Roman"/>
                <w:bCs/>
              </w:rPr>
              <w:t xml:space="preserve">, based on the provisions of </w:t>
            </w:r>
            <w:r>
              <w:rPr>
                <w:rFonts w:ascii="Times New Roman" w:eastAsia="Times New Roman" w:hAnsi="Times New Roman" w:cs="Times New Roman"/>
                <w:bCs/>
              </w:rPr>
              <w:t xml:space="preserve">the </w:t>
            </w:r>
            <w:r w:rsidR="005271F1">
              <w:rPr>
                <w:rFonts w:ascii="Times New Roman" w:eastAsia="Times New Roman" w:hAnsi="Times New Roman" w:cs="Times New Roman"/>
                <w:bCs/>
              </w:rPr>
              <w:t>Lisbon Recognition Convention.</w:t>
            </w:r>
          </w:p>
          <w:p w14:paraId="7D89A824" w14:textId="79FDDEE5" w:rsidR="002442B5" w:rsidRPr="00C1472A" w:rsidRDefault="002442B5" w:rsidP="002442B5">
            <w:pPr>
              <w:pBdr>
                <w:top w:val="nil"/>
                <w:left w:val="nil"/>
                <w:bottom w:val="nil"/>
                <w:right w:val="nil"/>
                <w:between w:val="nil"/>
              </w:pBdr>
              <w:ind w:left="720"/>
              <w:jc w:val="both"/>
              <w:rPr>
                <w:rFonts w:ascii="Times New Roman" w:eastAsia="Times New Roman" w:hAnsi="Times New Roman" w:cs="Times New Roman"/>
                <w:bCs/>
              </w:rPr>
            </w:pPr>
          </w:p>
        </w:tc>
      </w:tr>
      <w:tr w:rsidR="00C1472A" w:rsidRPr="00C1472A" w14:paraId="3074FFB3" w14:textId="77777777" w:rsidTr="00C1472A">
        <w:tc>
          <w:tcPr>
            <w:tcW w:w="9010" w:type="dxa"/>
            <w:shd w:val="clear" w:color="auto" w:fill="auto"/>
          </w:tcPr>
          <w:p w14:paraId="020B7A06" w14:textId="734EE381" w:rsidR="00C35D9A" w:rsidRDefault="00C35D9A" w:rsidP="00C35D9A">
            <w:pPr>
              <w:jc w:val="both"/>
              <w:rPr>
                <w:rFonts w:ascii="Times New Roman" w:eastAsia="Times New Roman" w:hAnsi="Times New Roman" w:cs="Times New Roman"/>
                <w:b/>
              </w:rPr>
            </w:pPr>
            <w:r w:rsidRPr="00C1472A">
              <w:rPr>
                <w:rFonts w:ascii="Times New Roman" w:eastAsia="Times New Roman" w:hAnsi="Times New Roman" w:cs="Times New Roman"/>
                <w:b/>
              </w:rPr>
              <w:lastRenderedPageBreak/>
              <w:t xml:space="preserve">3. Prior non-formal and informal learning counts towards fulfilment of a </w:t>
            </w:r>
            <w:r w:rsidR="00EF368D">
              <w:rPr>
                <w:rFonts w:ascii="Times New Roman" w:eastAsia="Times New Roman" w:hAnsi="Times New Roman" w:cs="Times New Roman"/>
                <w:b/>
              </w:rPr>
              <w:t>higher education</w:t>
            </w:r>
            <w:r w:rsidRPr="00C1472A">
              <w:rPr>
                <w:rFonts w:ascii="Times New Roman" w:eastAsia="Times New Roman" w:hAnsi="Times New Roman" w:cs="Times New Roman"/>
                <w:b/>
              </w:rPr>
              <w:t xml:space="preserve"> study program (Eurydice, 2022).</w:t>
            </w:r>
          </w:p>
          <w:p w14:paraId="786C81B9" w14:textId="3494D60C" w:rsidR="00D43F1C" w:rsidRPr="00D43F1C" w:rsidRDefault="00D43F1C" w:rsidP="00D43F1C">
            <w:pPr>
              <w:numPr>
                <w:ilvl w:val="0"/>
                <w:numId w:val="13"/>
              </w:numPr>
              <w:pBdr>
                <w:top w:val="nil"/>
                <w:left w:val="nil"/>
                <w:bottom w:val="nil"/>
                <w:right w:val="nil"/>
                <w:between w:val="nil"/>
              </w:pBdr>
              <w:ind w:left="720"/>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Pr>
                <w:rFonts w:ascii="Times New Roman" w:eastAsia="Times New Roman" w:hAnsi="Times New Roman" w:cs="Times New Roman"/>
                <w:bCs/>
              </w:rPr>
              <w:t xml:space="preserve"> has elaborated</w:t>
            </w:r>
            <w:r w:rsidRPr="00C1472A">
              <w:rPr>
                <w:rFonts w:ascii="Times New Roman" w:eastAsia="Times New Roman" w:hAnsi="Times New Roman" w:cs="Times New Roman"/>
                <w:bCs/>
              </w:rPr>
              <w:t xml:space="preserve"> a national policy of recognizing prior non-formal and/or informal learning for the purpose of </w:t>
            </w:r>
            <w:r>
              <w:rPr>
                <w:rFonts w:ascii="Times New Roman" w:eastAsia="Times New Roman" w:hAnsi="Times New Roman" w:cs="Times New Roman"/>
                <w:bCs/>
              </w:rPr>
              <w:t>progressing through and completing</w:t>
            </w:r>
            <w:r w:rsidRPr="00C1472A">
              <w:rPr>
                <w:rFonts w:ascii="Times New Roman" w:eastAsia="Times New Roman" w:hAnsi="Times New Roman" w:cs="Times New Roman"/>
                <w:bCs/>
              </w:rPr>
              <w:t xml:space="preserve"> higher education.</w:t>
            </w:r>
          </w:p>
          <w:p w14:paraId="4009793E" w14:textId="663B569D" w:rsidR="00250B12" w:rsidRPr="00250B12" w:rsidRDefault="00EF368D" w:rsidP="00250B12">
            <w:pPr>
              <w:numPr>
                <w:ilvl w:val="0"/>
                <w:numId w:val="13"/>
              </w:numPr>
              <w:ind w:left="720"/>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250B12" w:rsidRPr="00250B12">
              <w:rPr>
                <w:rFonts w:ascii="Times New Roman" w:eastAsia="Times New Roman" w:hAnsi="Times New Roman" w:cs="Times New Roman"/>
                <w:bCs/>
              </w:rPr>
              <w:t xml:space="preserve"> ensures that legal provisions require using learning outcomes in the design of qualifications and study programs, in accordance with National Qualifications Frameworks</w:t>
            </w:r>
            <w:r w:rsidR="005271F1">
              <w:rPr>
                <w:rFonts w:ascii="Times New Roman" w:eastAsia="Times New Roman" w:hAnsi="Times New Roman" w:cs="Times New Roman"/>
                <w:bCs/>
              </w:rPr>
              <w:t>.</w:t>
            </w:r>
          </w:p>
          <w:p w14:paraId="2E5C92B5" w14:textId="31F43E6C" w:rsidR="00B5430E" w:rsidRPr="00C1472A" w:rsidRDefault="00B5430E" w:rsidP="00C35D9A">
            <w:pPr>
              <w:jc w:val="both"/>
              <w:rPr>
                <w:rFonts w:ascii="Times New Roman" w:eastAsia="Times New Roman" w:hAnsi="Times New Roman" w:cs="Times New Roman"/>
                <w:bCs/>
              </w:rPr>
            </w:pPr>
          </w:p>
        </w:tc>
      </w:tr>
      <w:tr w:rsidR="00C1472A" w:rsidRPr="00C1472A" w14:paraId="5E572F17" w14:textId="77777777" w:rsidTr="00C1472A">
        <w:tc>
          <w:tcPr>
            <w:tcW w:w="9010" w:type="dxa"/>
            <w:shd w:val="clear" w:color="auto" w:fill="auto"/>
          </w:tcPr>
          <w:p w14:paraId="35BBD6A9" w14:textId="0938127C" w:rsidR="00152FC0" w:rsidRPr="00C1472A" w:rsidRDefault="00D57C26">
            <w:pPr>
              <w:jc w:val="both"/>
              <w:rPr>
                <w:rFonts w:ascii="Times New Roman" w:eastAsia="Times New Roman" w:hAnsi="Times New Roman" w:cs="Times New Roman"/>
                <w:b/>
              </w:rPr>
            </w:pPr>
            <w:r w:rsidRPr="00C1472A">
              <w:rPr>
                <w:rFonts w:ascii="Times New Roman" w:eastAsia="Times New Roman" w:hAnsi="Times New Roman" w:cs="Times New Roman"/>
                <w:b/>
              </w:rPr>
              <w:t xml:space="preserve">4. </w:t>
            </w:r>
            <w:r w:rsidR="0080179B" w:rsidRPr="00C1472A">
              <w:rPr>
                <w:rFonts w:ascii="Times New Roman" w:eastAsia="Times New Roman" w:hAnsi="Times New Roman" w:cs="Times New Roman"/>
                <w:b/>
              </w:rPr>
              <w:t xml:space="preserve">Quality assurance agencies address the recognition of prior non-formal and/or informal learning in </w:t>
            </w:r>
            <w:r w:rsidR="00C7529D">
              <w:rPr>
                <w:rFonts w:ascii="Times New Roman" w:eastAsia="Times New Roman" w:hAnsi="Times New Roman" w:cs="Times New Roman"/>
                <w:b/>
              </w:rPr>
              <w:t>higher education</w:t>
            </w:r>
            <w:r w:rsidR="0080179B" w:rsidRPr="00C1472A">
              <w:rPr>
                <w:rFonts w:ascii="Times New Roman" w:eastAsia="Times New Roman" w:hAnsi="Times New Roman" w:cs="Times New Roman"/>
                <w:b/>
              </w:rPr>
              <w:t xml:space="preserve"> in their external evaluation procedures</w:t>
            </w:r>
            <w:r w:rsidRPr="00C1472A">
              <w:rPr>
                <w:rFonts w:ascii="Times New Roman" w:eastAsia="Times New Roman" w:hAnsi="Times New Roman" w:cs="Times New Roman"/>
                <w:b/>
              </w:rPr>
              <w:t xml:space="preserve"> (Eurydice, 2022)</w:t>
            </w:r>
            <w:r w:rsidR="0080179B" w:rsidRPr="00C1472A">
              <w:rPr>
                <w:rFonts w:ascii="Times New Roman" w:eastAsia="Times New Roman" w:hAnsi="Times New Roman" w:cs="Times New Roman"/>
                <w:b/>
              </w:rPr>
              <w:t>.</w:t>
            </w:r>
          </w:p>
          <w:p w14:paraId="17F47F9D" w14:textId="77777777" w:rsidR="00C7529D" w:rsidRPr="009C3AB6" w:rsidRDefault="00C7529D" w:rsidP="00C7529D">
            <w:pPr>
              <w:numPr>
                <w:ilvl w:val="0"/>
                <w:numId w:val="13"/>
              </w:numPr>
              <w:pBdr>
                <w:top w:val="nil"/>
                <w:left w:val="nil"/>
                <w:bottom w:val="nil"/>
                <w:right w:val="nil"/>
                <w:between w:val="nil"/>
              </w:pBdr>
              <w:ind w:left="720"/>
              <w:jc w:val="both"/>
              <w:rPr>
                <w:rFonts w:ascii="Times New Roman" w:eastAsia="Times New Roman" w:hAnsi="Times New Roman" w:cs="Times New Roman"/>
                <w:bCs/>
              </w:rPr>
            </w:pPr>
            <w:r w:rsidRPr="00250B12">
              <w:rPr>
                <w:rFonts w:ascii="Times New Roman" w:eastAsia="Times New Roman" w:hAnsi="Times New Roman" w:cs="Times New Roman"/>
                <w:bCs/>
              </w:rPr>
              <w:t xml:space="preserve">Quality assurance agencies have </w:t>
            </w:r>
            <w:r w:rsidRPr="009C3AB6">
              <w:rPr>
                <w:rFonts w:ascii="Times New Roman" w:eastAsia="Times New Roman" w:hAnsi="Times New Roman" w:cs="Times New Roman"/>
                <w:bCs/>
              </w:rPr>
              <w:t xml:space="preserve">standards and criteria in their external evaluation procedures that </w:t>
            </w:r>
            <w:r>
              <w:rPr>
                <w:rFonts w:ascii="Times New Roman" w:eastAsia="Times New Roman" w:hAnsi="Times New Roman" w:cs="Times New Roman"/>
                <w:bCs/>
              </w:rPr>
              <w:t>check</w:t>
            </w:r>
            <w:r w:rsidRPr="009C3AB6">
              <w:rPr>
                <w:rFonts w:ascii="Times New Roman" w:eastAsia="Times New Roman" w:hAnsi="Times New Roman" w:cs="Times New Roman"/>
                <w:bCs/>
              </w:rPr>
              <w:t xml:space="preserve"> whether </w:t>
            </w:r>
            <w:r w:rsidRPr="00C1472A">
              <w:rPr>
                <w:rFonts w:ascii="Times New Roman" w:eastAsia="Times New Roman" w:hAnsi="Times New Roman" w:cs="Times New Roman"/>
                <w:bCs/>
              </w:rPr>
              <w:t>higher education</w:t>
            </w:r>
            <w:r>
              <w:rPr>
                <w:rFonts w:ascii="Times New Roman" w:eastAsia="Times New Roman" w:hAnsi="Times New Roman" w:cs="Times New Roman"/>
                <w:bCs/>
              </w:rPr>
              <w:t xml:space="preserve"> institutions</w:t>
            </w:r>
            <w:r w:rsidRPr="009C3AB6">
              <w:rPr>
                <w:rFonts w:ascii="Times New Roman" w:eastAsia="Times New Roman" w:hAnsi="Times New Roman" w:cs="Times New Roman"/>
                <w:bCs/>
              </w:rPr>
              <w:t xml:space="preserve"> recognize prior non-formal and/or informal learning.</w:t>
            </w:r>
          </w:p>
          <w:p w14:paraId="7D6DF0BF" w14:textId="3BF0B7E4" w:rsidR="00250B12" w:rsidRDefault="005271F1" w:rsidP="00250B12">
            <w:pPr>
              <w:numPr>
                <w:ilvl w:val="0"/>
                <w:numId w:val="13"/>
              </w:numPr>
              <w:pBdr>
                <w:top w:val="nil"/>
                <w:left w:val="nil"/>
                <w:bottom w:val="nil"/>
                <w:right w:val="nil"/>
                <w:between w:val="nil"/>
              </w:pBdr>
              <w:ind w:left="720"/>
              <w:jc w:val="both"/>
              <w:rPr>
                <w:rFonts w:ascii="Times New Roman" w:eastAsia="Times New Roman" w:hAnsi="Times New Roman" w:cs="Times New Roman"/>
                <w:bCs/>
              </w:rPr>
            </w:pPr>
            <w:r>
              <w:rPr>
                <w:rFonts w:ascii="Times New Roman" w:eastAsia="Times New Roman" w:hAnsi="Times New Roman" w:cs="Times New Roman"/>
                <w:bCs/>
              </w:rPr>
              <w:t>Q</w:t>
            </w:r>
            <w:r w:rsidR="00B5430E" w:rsidRPr="00C1472A">
              <w:rPr>
                <w:rFonts w:ascii="Times New Roman" w:eastAsia="Times New Roman" w:hAnsi="Times New Roman" w:cs="Times New Roman"/>
                <w:bCs/>
              </w:rPr>
              <w:t>uality assurance</w:t>
            </w:r>
            <w:r w:rsidR="00515591" w:rsidRPr="00C1472A">
              <w:rPr>
                <w:rFonts w:ascii="Times New Roman" w:eastAsia="Times New Roman" w:hAnsi="Times New Roman" w:cs="Times New Roman"/>
                <w:bCs/>
              </w:rPr>
              <w:t xml:space="preserve"> agencies and </w:t>
            </w:r>
            <w:r w:rsidR="00C7529D" w:rsidRPr="00C1472A">
              <w:rPr>
                <w:rFonts w:ascii="Times New Roman" w:eastAsia="Times New Roman" w:hAnsi="Times New Roman" w:cs="Times New Roman"/>
                <w:bCs/>
              </w:rPr>
              <w:t>higher education</w:t>
            </w:r>
            <w:r w:rsidR="00C7529D">
              <w:rPr>
                <w:rFonts w:ascii="Times New Roman" w:eastAsia="Times New Roman" w:hAnsi="Times New Roman" w:cs="Times New Roman"/>
                <w:bCs/>
              </w:rPr>
              <w:t xml:space="preserve"> institutions</w:t>
            </w:r>
            <w:r w:rsidR="00515591" w:rsidRPr="00C1472A">
              <w:rPr>
                <w:rFonts w:ascii="Times New Roman" w:eastAsia="Times New Roman" w:hAnsi="Times New Roman" w:cs="Times New Roman"/>
                <w:bCs/>
              </w:rPr>
              <w:t xml:space="preserve"> work jointly on </w:t>
            </w:r>
            <w:r w:rsidR="00B5430E" w:rsidRPr="00C1472A">
              <w:rPr>
                <w:rFonts w:ascii="Times New Roman" w:eastAsia="Times New Roman" w:hAnsi="Times New Roman" w:cs="Times New Roman"/>
                <w:bCs/>
              </w:rPr>
              <w:t xml:space="preserve">the recognition of prior non-formal and/or informal learning </w:t>
            </w:r>
            <w:r w:rsidR="00515591" w:rsidRPr="00C1472A">
              <w:rPr>
                <w:rFonts w:ascii="Times New Roman" w:eastAsia="Times New Roman" w:hAnsi="Times New Roman" w:cs="Times New Roman"/>
                <w:bCs/>
              </w:rPr>
              <w:t xml:space="preserve">to prevent parallel </w:t>
            </w:r>
            <w:r w:rsidR="001417A7" w:rsidRPr="00C1472A">
              <w:rPr>
                <w:rFonts w:ascii="Times New Roman" w:eastAsia="Times New Roman" w:hAnsi="Times New Roman" w:cs="Times New Roman"/>
                <w:bCs/>
              </w:rPr>
              <w:t xml:space="preserve">and opposing </w:t>
            </w:r>
            <w:r w:rsidR="00515591" w:rsidRPr="00C1472A">
              <w:rPr>
                <w:rFonts w:ascii="Times New Roman" w:eastAsia="Times New Roman" w:hAnsi="Times New Roman" w:cs="Times New Roman"/>
                <w:bCs/>
              </w:rPr>
              <w:t>procedures</w:t>
            </w:r>
            <w:r w:rsidR="001417A7" w:rsidRPr="00C1472A">
              <w:rPr>
                <w:rFonts w:ascii="Times New Roman" w:eastAsia="Times New Roman" w:hAnsi="Times New Roman" w:cs="Times New Roman"/>
                <w:bCs/>
              </w:rPr>
              <w:t xml:space="preserve">, </w:t>
            </w:r>
            <w:r w:rsidR="008267AA" w:rsidRPr="00C1472A">
              <w:rPr>
                <w:rFonts w:ascii="Times New Roman" w:eastAsia="Times New Roman" w:hAnsi="Times New Roman" w:cs="Times New Roman"/>
                <w:bCs/>
              </w:rPr>
              <w:t>delays,</w:t>
            </w:r>
            <w:r w:rsidR="00515591" w:rsidRPr="00C1472A">
              <w:rPr>
                <w:rFonts w:ascii="Times New Roman" w:eastAsia="Times New Roman" w:hAnsi="Times New Roman" w:cs="Times New Roman"/>
                <w:bCs/>
              </w:rPr>
              <w:t xml:space="preserve"> and extra costs</w:t>
            </w:r>
            <w:r w:rsidR="001417A7" w:rsidRPr="00C1472A">
              <w:rPr>
                <w:rFonts w:ascii="Times New Roman" w:eastAsia="Times New Roman" w:hAnsi="Times New Roman" w:cs="Times New Roman"/>
                <w:bCs/>
              </w:rPr>
              <w:t xml:space="preserve"> for students</w:t>
            </w:r>
            <w:r w:rsidR="00515591" w:rsidRPr="00C1472A">
              <w:rPr>
                <w:rFonts w:ascii="Times New Roman" w:eastAsia="Times New Roman" w:hAnsi="Times New Roman" w:cs="Times New Roman"/>
                <w:bCs/>
              </w:rPr>
              <w:t>.</w:t>
            </w:r>
            <w:r w:rsidR="00250B12">
              <w:rPr>
                <w:rFonts w:ascii="Times New Roman" w:eastAsia="Times New Roman" w:hAnsi="Times New Roman" w:cs="Times New Roman"/>
                <w:bCs/>
              </w:rPr>
              <w:t xml:space="preserve"> </w:t>
            </w:r>
          </w:p>
          <w:p w14:paraId="28A85F27" w14:textId="4023A77B" w:rsidR="00250B12" w:rsidRPr="00C1472A" w:rsidRDefault="00250B12" w:rsidP="00C7529D">
            <w:pPr>
              <w:pBdr>
                <w:top w:val="nil"/>
                <w:left w:val="nil"/>
                <w:bottom w:val="nil"/>
                <w:right w:val="nil"/>
                <w:between w:val="nil"/>
              </w:pBdr>
              <w:ind w:left="720"/>
              <w:jc w:val="both"/>
              <w:rPr>
                <w:rFonts w:ascii="Times New Roman" w:eastAsia="Times New Roman" w:hAnsi="Times New Roman" w:cs="Times New Roman"/>
                <w:bCs/>
              </w:rPr>
            </w:pPr>
          </w:p>
        </w:tc>
      </w:tr>
    </w:tbl>
    <w:p w14:paraId="36ADC5AB" w14:textId="77777777" w:rsidR="00152FC0" w:rsidRDefault="00152FC0">
      <w:pPr>
        <w:rPr>
          <w:rFonts w:ascii="Times New Roman" w:eastAsia="Times New Roman" w:hAnsi="Times New Roman" w:cs="Times New Roman"/>
        </w:rPr>
      </w:pPr>
    </w:p>
    <w:p w14:paraId="4384F6CE" w14:textId="77777777" w:rsidR="00152FC0" w:rsidRDefault="00152FC0">
      <w:pPr>
        <w:rPr>
          <w:rFonts w:ascii="Times New Roman" w:eastAsia="Times New Roman" w:hAnsi="Times New Roman" w:cs="Times New Roman"/>
        </w:rPr>
      </w:pPr>
    </w:p>
    <w:p w14:paraId="5EFD13D3" w14:textId="77777777" w:rsidR="00152FC0" w:rsidRPr="008267AA" w:rsidRDefault="0080179B">
      <w:pPr>
        <w:numPr>
          <w:ilvl w:val="0"/>
          <w:numId w:val="11"/>
        </w:numPr>
        <w:pBdr>
          <w:top w:val="single" w:sz="4" w:space="1" w:color="000000"/>
          <w:left w:val="single" w:sz="4" w:space="1" w:color="000000"/>
          <w:bottom w:val="single" w:sz="4" w:space="1" w:color="000000"/>
          <w:right w:val="single" w:sz="4" w:space="1" w:color="000000"/>
          <w:between w:val="single" w:sz="4" w:space="1" w:color="000000"/>
        </w:pBdr>
        <w:shd w:val="clear" w:color="auto" w:fill="5B9BD5" w:themeFill="accent5"/>
        <w:jc w:val="both"/>
        <w:rPr>
          <w:rFonts w:ascii="Times New Roman" w:eastAsia="Times New Roman" w:hAnsi="Times New Roman" w:cs="Times New Roman"/>
          <w:b/>
          <w:bCs/>
          <w:color w:val="000000"/>
          <w:sz w:val="24"/>
          <w:szCs w:val="24"/>
        </w:rPr>
      </w:pPr>
      <w:r w:rsidRPr="008267AA">
        <w:rPr>
          <w:rFonts w:ascii="Times New Roman" w:eastAsia="Times New Roman" w:hAnsi="Times New Roman" w:cs="Times New Roman"/>
          <w:b/>
          <w:bCs/>
          <w:color w:val="000000"/>
          <w:sz w:val="24"/>
          <w:szCs w:val="24"/>
        </w:rPr>
        <w:t>The inclusiveness of the entire education system should be improved by developing coherent policies from early childhood education, through schooling to higher education and throughout lifelong learning.</w:t>
      </w:r>
    </w:p>
    <w:p w14:paraId="7D434DE2" w14:textId="77777777" w:rsidR="00AA2E61" w:rsidRDefault="00AA2E61">
      <w:pPr>
        <w:pBdr>
          <w:top w:val="nil"/>
          <w:left w:val="nil"/>
          <w:bottom w:val="nil"/>
          <w:right w:val="nil"/>
          <w:between w:val="nil"/>
        </w:pBdr>
        <w:ind w:left="720"/>
        <w:jc w:val="both"/>
        <w:rPr>
          <w:rFonts w:ascii="Times New Roman" w:eastAsia="Times New Roman" w:hAnsi="Times New Roman" w:cs="Times New Roman"/>
          <w:b/>
          <w:color w:val="000000"/>
        </w:rPr>
      </w:pPr>
    </w:p>
    <w:p w14:paraId="2DEE816F" w14:textId="4ACB8893" w:rsidR="00152FC0" w:rsidRPr="009E0595" w:rsidRDefault="0080179B">
      <w:pPr>
        <w:pBdr>
          <w:top w:val="nil"/>
          <w:left w:val="nil"/>
          <w:bottom w:val="nil"/>
          <w:right w:val="nil"/>
          <w:between w:val="nil"/>
        </w:pBdr>
        <w:ind w:left="720"/>
        <w:jc w:val="both"/>
        <w:rPr>
          <w:rFonts w:ascii="Times New Roman" w:eastAsia="Times New Roman" w:hAnsi="Times New Roman" w:cs="Times New Roman"/>
          <w:b/>
          <w:color w:val="000000"/>
        </w:rPr>
      </w:pPr>
      <w:r w:rsidRPr="009E0595">
        <w:rPr>
          <w:rFonts w:ascii="Times New Roman" w:eastAsia="Times New Roman" w:hAnsi="Times New Roman" w:cs="Times New Roman"/>
          <w:b/>
          <w:color w:val="000000"/>
        </w:rPr>
        <w:t>Guidelines:</w:t>
      </w:r>
    </w:p>
    <w:p w14:paraId="31E85BDD" w14:textId="77777777" w:rsidR="00152FC0" w:rsidRPr="008267AA" w:rsidRDefault="0080179B">
      <w:pPr>
        <w:numPr>
          <w:ilvl w:val="1"/>
          <w:numId w:val="12"/>
        </w:numPr>
        <w:pBdr>
          <w:top w:val="nil"/>
          <w:left w:val="nil"/>
          <w:bottom w:val="nil"/>
          <w:right w:val="nil"/>
          <w:between w:val="nil"/>
        </w:pBdr>
        <w:jc w:val="both"/>
        <w:rPr>
          <w:rFonts w:ascii="Times New Roman" w:eastAsia="Times New Roman" w:hAnsi="Times New Roman" w:cs="Times New Roman"/>
          <w:color w:val="000000"/>
        </w:rPr>
      </w:pPr>
      <w:r w:rsidRPr="008267AA">
        <w:rPr>
          <w:rFonts w:ascii="Times New Roman" w:eastAsia="Times New Roman" w:hAnsi="Times New Roman" w:cs="Times New Roman"/>
          <w:color w:val="000000"/>
        </w:rPr>
        <w:t>It is important to create synergies with all education levels and related policy areas (such as finance, employment, health and social welfare, housing, migration etc.) in order to develop policy measures that create an inclusive environment throughout the entire education sector that fosters equity, diversity, and inclusion, and is responsive to the needs of the wider community.</w:t>
      </w:r>
    </w:p>
    <w:p w14:paraId="3A18ED46" w14:textId="77777777" w:rsidR="00152FC0" w:rsidRPr="008267AA" w:rsidRDefault="00152FC0">
      <w:pPr>
        <w:pBdr>
          <w:top w:val="nil"/>
          <w:left w:val="nil"/>
          <w:bottom w:val="nil"/>
          <w:right w:val="nil"/>
          <w:between w:val="nil"/>
        </w:pBdr>
        <w:ind w:left="1800"/>
        <w:jc w:val="both"/>
        <w:rPr>
          <w:rFonts w:ascii="Times New Roman" w:eastAsia="Times New Roman" w:hAnsi="Times New Roman" w:cs="Times New Roman"/>
          <w:color w:val="000000"/>
        </w:rPr>
      </w:pPr>
    </w:p>
    <w:p w14:paraId="695374E9" w14:textId="24932F63" w:rsidR="00152FC0" w:rsidRPr="009E0595" w:rsidRDefault="0080179B">
      <w:pPr>
        <w:numPr>
          <w:ilvl w:val="1"/>
          <w:numId w:val="12"/>
        </w:numPr>
        <w:pBdr>
          <w:top w:val="nil"/>
          <w:left w:val="nil"/>
          <w:bottom w:val="nil"/>
          <w:right w:val="nil"/>
          <w:between w:val="nil"/>
        </w:pBdr>
        <w:jc w:val="both"/>
        <w:rPr>
          <w:rFonts w:ascii="Times New Roman" w:eastAsia="Times New Roman" w:hAnsi="Times New Roman" w:cs="Times New Roman"/>
          <w:color w:val="000000"/>
        </w:rPr>
      </w:pPr>
      <w:r w:rsidRPr="008267AA">
        <w:rPr>
          <w:rFonts w:ascii="Times New Roman" w:eastAsia="Times New Roman" w:hAnsi="Times New Roman" w:cs="Times New Roman"/>
          <w:color w:val="000000"/>
        </w:rPr>
        <w:t>The social dimension policies should not only support current students, but also potential students in their preparation and transition into higher education. Participation in higher education has to be a lifelong option, including for adults who decide</w:t>
      </w:r>
      <w:r w:rsidRPr="009E0595">
        <w:rPr>
          <w:rFonts w:ascii="Times New Roman" w:eastAsia="Times New Roman" w:hAnsi="Times New Roman" w:cs="Times New Roman"/>
          <w:color w:val="000000"/>
        </w:rPr>
        <w:t xml:space="preserve"> to return to or enter higher education at later stages in their lives. An inclusive approach needs to involve wider communities, higher education institutions and other stakeholder groups to co-create pathways to higher education</w:t>
      </w:r>
      <w:r w:rsidR="009C7408">
        <w:rPr>
          <w:rFonts w:ascii="Times New Roman" w:eastAsia="Times New Roman" w:hAnsi="Times New Roman" w:cs="Times New Roman"/>
          <w:color w:val="000000"/>
        </w:rPr>
        <w:t>.</w:t>
      </w:r>
    </w:p>
    <w:p w14:paraId="41B910B8" w14:textId="77777777" w:rsidR="00152FC0" w:rsidRDefault="00152FC0">
      <w:pPr>
        <w:rPr>
          <w:rFonts w:ascii="Times New Roman" w:eastAsia="Times New Roman" w:hAnsi="Times New Roman" w:cs="Times New Roman"/>
        </w:rPr>
      </w:pPr>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9C7408" w:rsidRPr="009C7408" w14:paraId="25DEC185" w14:textId="77777777" w:rsidTr="009C7408">
        <w:tc>
          <w:tcPr>
            <w:tcW w:w="9010" w:type="dxa"/>
            <w:shd w:val="clear" w:color="auto" w:fill="auto"/>
          </w:tcPr>
          <w:p w14:paraId="00F03C1A" w14:textId="77777777" w:rsidR="00152FC0" w:rsidRDefault="0080179B">
            <w:pPr>
              <w:jc w:val="both"/>
              <w:rPr>
                <w:rFonts w:ascii="Times New Roman" w:eastAsia="Times New Roman" w:hAnsi="Times New Roman" w:cs="Times New Roman"/>
                <w:b/>
              </w:rPr>
            </w:pPr>
            <w:r w:rsidRPr="009C7408">
              <w:rPr>
                <w:rFonts w:ascii="Times New Roman" w:eastAsia="Times New Roman" w:hAnsi="Times New Roman" w:cs="Times New Roman"/>
                <w:b/>
              </w:rPr>
              <w:t>Indicators</w:t>
            </w:r>
          </w:p>
          <w:p w14:paraId="73C34945" w14:textId="3D8DB89D" w:rsidR="009C7408" w:rsidRPr="009C7408" w:rsidRDefault="009C7408">
            <w:pPr>
              <w:jc w:val="both"/>
              <w:rPr>
                <w:rFonts w:ascii="Times New Roman" w:eastAsia="Times New Roman" w:hAnsi="Times New Roman" w:cs="Times New Roman"/>
                <w:b/>
              </w:rPr>
            </w:pPr>
          </w:p>
        </w:tc>
      </w:tr>
      <w:tr w:rsidR="009C7408" w:rsidRPr="009C7408" w14:paraId="4589D8CE" w14:textId="77777777" w:rsidTr="009C7408">
        <w:tc>
          <w:tcPr>
            <w:tcW w:w="9010" w:type="dxa"/>
            <w:shd w:val="clear" w:color="auto" w:fill="auto"/>
          </w:tcPr>
          <w:p w14:paraId="04E54186" w14:textId="468655F7" w:rsidR="00A7338A" w:rsidRPr="009C7408" w:rsidRDefault="00A7338A" w:rsidP="00A7338A">
            <w:pPr>
              <w:jc w:val="both"/>
              <w:rPr>
                <w:rFonts w:ascii="Times New Roman" w:eastAsia="Times New Roman" w:hAnsi="Times New Roman" w:cs="Times New Roman"/>
                <w:b/>
              </w:rPr>
            </w:pPr>
            <w:r w:rsidRPr="009C7408">
              <w:rPr>
                <w:rFonts w:ascii="Times New Roman" w:eastAsia="Times New Roman" w:hAnsi="Times New Roman" w:cs="Times New Roman"/>
                <w:b/>
              </w:rPr>
              <w:t xml:space="preserve">1. Existence of top-level coordination </w:t>
            </w:r>
            <w:r w:rsidR="000D1BE8">
              <w:rPr>
                <w:rFonts w:ascii="Times New Roman" w:eastAsia="Times New Roman" w:hAnsi="Times New Roman" w:cs="Times New Roman"/>
                <w:b/>
              </w:rPr>
              <w:t xml:space="preserve">structures and </w:t>
            </w:r>
            <w:r w:rsidRPr="009C7408">
              <w:rPr>
                <w:rFonts w:ascii="Times New Roman" w:eastAsia="Times New Roman" w:hAnsi="Times New Roman" w:cs="Times New Roman"/>
                <w:b/>
              </w:rPr>
              <w:t>mechanisms between different levels of education with a focus on diversity, equity and inclusion in education</w:t>
            </w:r>
            <w:r w:rsidR="00CF2B28" w:rsidRPr="009C7408">
              <w:rPr>
                <w:rFonts w:ascii="Times New Roman" w:eastAsia="Times New Roman" w:hAnsi="Times New Roman" w:cs="Times New Roman"/>
                <w:b/>
              </w:rPr>
              <w:t xml:space="preserve"> (Eurydice, 2022)</w:t>
            </w:r>
            <w:r w:rsidRPr="009C7408">
              <w:rPr>
                <w:rFonts w:ascii="Times New Roman" w:eastAsia="Times New Roman" w:hAnsi="Times New Roman" w:cs="Times New Roman"/>
                <w:b/>
              </w:rPr>
              <w:t>.</w:t>
            </w:r>
          </w:p>
          <w:p w14:paraId="2A4B3A19" w14:textId="7A3B0829" w:rsidR="00B06E31" w:rsidRPr="00B06E31" w:rsidRDefault="00CA6DE3" w:rsidP="00B06E31">
            <w:pPr>
              <w:numPr>
                <w:ilvl w:val="0"/>
                <w:numId w:val="16"/>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B06E31" w:rsidRPr="009C7408">
              <w:rPr>
                <w:rFonts w:ascii="Times New Roman" w:eastAsia="Times New Roman" w:hAnsi="Times New Roman" w:cs="Times New Roman"/>
                <w:bCs/>
              </w:rPr>
              <w:t xml:space="preserve"> actively coordinates with stakeholders </w:t>
            </w:r>
            <w:r w:rsidR="00B06E31">
              <w:rPr>
                <w:rFonts w:ascii="Times New Roman" w:eastAsia="Times New Roman" w:hAnsi="Times New Roman" w:cs="Times New Roman"/>
                <w:bCs/>
              </w:rPr>
              <w:t xml:space="preserve">and advisory bodies </w:t>
            </w:r>
            <w:r w:rsidR="00B06E31" w:rsidRPr="009C7408">
              <w:rPr>
                <w:rFonts w:ascii="Times New Roman" w:eastAsia="Times New Roman" w:hAnsi="Times New Roman" w:cs="Times New Roman"/>
                <w:bCs/>
              </w:rPr>
              <w:t xml:space="preserve">at all educational levels </w:t>
            </w:r>
            <w:r w:rsidR="00B06E31">
              <w:rPr>
                <w:rFonts w:ascii="Times New Roman" w:eastAsia="Times New Roman" w:hAnsi="Times New Roman" w:cs="Times New Roman"/>
                <w:bCs/>
              </w:rPr>
              <w:t xml:space="preserve">and organizes a national social dialogue </w:t>
            </w:r>
            <w:r w:rsidR="00B06E31" w:rsidRPr="009C7408">
              <w:rPr>
                <w:rFonts w:ascii="Times New Roman" w:eastAsia="Times New Roman" w:hAnsi="Times New Roman" w:cs="Times New Roman"/>
                <w:bCs/>
              </w:rPr>
              <w:t>on diversity, equity and inclusion in education</w:t>
            </w:r>
            <w:r w:rsidR="00B06E31">
              <w:rPr>
                <w:rFonts w:ascii="Times New Roman" w:eastAsia="Times New Roman" w:hAnsi="Times New Roman" w:cs="Times New Roman"/>
                <w:bCs/>
              </w:rPr>
              <w:t>.</w:t>
            </w:r>
          </w:p>
          <w:p w14:paraId="4D35F60F" w14:textId="1961FE63" w:rsidR="00152FC0" w:rsidRPr="009C7408" w:rsidRDefault="00CA6DE3">
            <w:pPr>
              <w:numPr>
                <w:ilvl w:val="0"/>
                <w:numId w:val="16"/>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7C6BB5" w:rsidRPr="009C7408">
              <w:rPr>
                <w:rFonts w:ascii="Times New Roman" w:eastAsia="Times New Roman" w:hAnsi="Times New Roman" w:cs="Times New Roman"/>
                <w:bCs/>
              </w:rPr>
              <w:t xml:space="preserve"> </w:t>
            </w:r>
            <w:r w:rsidR="00BB6849" w:rsidRPr="009C7408">
              <w:rPr>
                <w:rFonts w:ascii="Times New Roman" w:eastAsia="Times New Roman" w:hAnsi="Times New Roman" w:cs="Times New Roman"/>
                <w:bCs/>
              </w:rPr>
              <w:t>supports</w:t>
            </w:r>
            <w:r w:rsidR="007C6BB5" w:rsidRPr="009C7408">
              <w:rPr>
                <w:rFonts w:ascii="Times New Roman" w:eastAsia="Times New Roman" w:hAnsi="Times New Roman" w:cs="Times New Roman"/>
                <w:bCs/>
              </w:rPr>
              <w:t xml:space="preserve"> awareness raising</w:t>
            </w:r>
            <w:r w:rsidR="002A6C25">
              <w:rPr>
                <w:rFonts w:ascii="Times New Roman" w:eastAsia="Times New Roman" w:hAnsi="Times New Roman" w:cs="Times New Roman"/>
                <w:bCs/>
              </w:rPr>
              <w:t xml:space="preserve"> and peer learning</w:t>
            </w:r>
            <w:r w:rsidR="007C6BB5" w:rsidRPr="009C7408">
              <w:rPr>
                <w:rFonts w:ascii="Times New Roman" w:eastAsia="Times New Roman" w:hAnsi="Times New Roman" w:cs="Times New Roman"/>
                <w:bCs/>
              </w:rPr>
              <w:t xml:space="preserve"> activities</w:t>
            </w:r>
            <w:r w:rsidR="00BB6849" w:rsidRPr="009C7408">
              <w:rPr>
                <w:rFonts w:ascii="Times New Roman" w:eastAsia="Times New Roman" w:hAnsi="Times New Roman" w:cs="Times New Roman"/>
                <w:bCs/>
              </w:rPr>
              <w:t xml:space="preserve"> on diversity, equity and inclusion among children,</w:t>
            </w:r>
            <w:r w:rsidR="007C6BB5" w:rsidRPr="009C7408">
              <w:rPr>
                <w:rFonts w:ascii="Times New Roman" w:eastAsia="Times New Roman" w:hAnsi="Times New Roman" w:cs="Times New Roman"/>
                <w:bCs/>
              </w:rPr>
              <w:t xml:space="preserve"> students, parents</w:t>
            </w:r>
            <w:r w:rsidR="00BB6849" w:rsidRPr="009C7408">
              <w:rPr>
                <w:rFonts w:ascii="Times New Roman" w:eastAsia="Times New Roman" w:hAnsi="Times New Roman" w:cs="Times New Roman"/>
                <w:bCs/>
              </w:rPr>
              <w:t xml:space="preserve">, administrative and teaching staff in schools and </w:t>
            </w:r>
            <w:r>
              <w:rPr>
                <w:rFonts w:ascii="Times New Roman" w:eastAsia="Times New Roman" w:hAnsi="Times New Roman" w:cs="Times New Roman"/>
                <w:bCs/>
              </w:rPr>
              <w:t>higher education institutions</w:t>
            </w:r>
            <w:r w:rsidR="00BB6849" w:rsidRPr="009C7408">
              <w:rPr>
                <w:rFonts w:ascii="Times New Roman" w:eastAsia="Times New Roman" w:hAnsi="Times New Roman" w:cs="Times New Roman"/>
                <w:bCs/>
              </w:rPr>
              <w:t xml:space="preserve">, </w:t>
            </w:r>
            <w:r w:rsidR="00B06E31">
              <w:rPr>
                <w:rFonts w:ascii="Times New Roman" w:eastAsia="Times New Roman" w:hAnsi="Times New Roman" w:cs="Times New Roman"/>
                <w:bCs/>
              </w:rPr>
              <w:t xml:space="preserve">among </w:t>
            </w:r>
            <w:r w:rsidR="00BB6849" w:rsidRPr="009C7408">
              <w:rPr>
                <w:rFonts w:ascii="Times New Roman" w:eastAsia="Times New Roman" w:hAnsi="Times New Roman" w:cs="Times New Roman"/>
                <w:bCs/>
              </w:rPr>
              <w:t xml:space="preserve">local civil society representatives </w:t>
            </w:r>
            <w:r w:rsidR="00B25099" w:rsidRPr="009C7408">
              <w:rPr>
                <w:rFonts w:ascii="Times New Roman" w:eastAsia="Times New Roman" w:hAnsi="Times New Roman" w:cs="Times New Roman"/>
                <w:bCs/>
              </w:rPr>
              <w:t xml:space="preserve">and other important stakeholders in education. </w:t>
            </w:r>
          </w:p>
          <w:p w14:paraId="2C10495C" w14:textId="524D1C49" w:rsidR="00847AAC" w:rsidRPr="009C7408" w:rsidRDefault="00CA6DE3">
            <w:pPr>
              <w:numPr>
                <w:ilvl w:val="0"/>
                <w:numId w:val="16"/>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lastRenderedPageBreak/>
              <w:t>Public authority</w:t>
            </w:r>
            <w:r w:rsidR="00847AAC" w:rsidRPr="009C7408">
              <w:rPr>
                <w:rFonts w:ascii="Times New Roman" w:eastAsia="Times New Roman" w:hAnsi="Times New Roman" w:cs="Times New Roman"/>
                <w:bCs/>
              </w:rPr>
              <w:t xml:space="preserve"> </w:t>
            </w:r>
            <w:r w:rsidR="002A6C25">
              <w:rPr>
                <w:rFonts w:ascii="Times New Roman" w:eastAsia="Times New Roman" w:hAnsi="Times New Roman" w:cs="Times New Roman"/>
                <w:bCs/>
              </w:rPr>
              <w:t xml:space="preserve">provides </w:t>
            </w:r>
            <w:r w:rsidR="00847AAC" w:rsidRPr="009C7408">
              <w:rPr>
                <w:rFonts w:ascii="Times New Roman" w:eastAsia="Times New Roman" w:hAnsi="Times New Roman" w:cs="Times New Roman"/>
                <w:bCs/>
              </w:rPr>
              <w:t>support</w:t>
            </w:r>
            <w:r w:rsidR="002A6C25">
              <w:rPr>
                <w:rFonts w:ascii="Times New Roman" w:eastAsia="Times New Roman" w:hAnsi="Times New Roman" w:cs="Times New Roman"/>
                <w:bCs/>
              </w:rPr>
              <w:t xml:space="preserve"> and guidance to</w:t>
            </w:r>
            <w:r w:rsidR="002B748D">
              <w:rPr>
                <w:rFonts w:ascii="Times New Roman" w:eastAsia="Times New Roman" w:hAnsi="Times New Roman" w:cs="Times New Roman"/>
                <w:bCs/>
              </w:rPr>
              <w:t xml:space="preserve"> </w:t>
            </w:r>
            <w:r w:rsidR="00847AAC" w:rsidRPr="009C7408">
              <w:rPr>
                <w:rFonts w:ascii="Times New Roman" w:eastAsia="Times New Roman" w:hAnsi="Times New Roman" w:cs="Times New Roman"/>
                <w:bCs/>
              </w:rPr>
              <w:t>educational institutions t</w:t>
            </w:r>
            <w:r w:rsidR="002A6C25">
              <w:rPr>
                <w:rFonts w:ascii="Times New Roman" w:eastAsia="Times New Roman" w:hAnsi="Times New Roman" w:cs="Times New Roman"/>
                <w:bCs/>
              </w:rPr>
              <w:t>o</w:t>
            </w:r>
            <w:r w:rsidR="00847AAC" w:rsidRPr="009C7408">
              <w:rPr>
                <w:rFonts w:ascii="Times New Roman" w:eastAsia="Times New Roman" w:hAnsi="Times New Roman" w:cs="Times New Roman"/>
                <w:bCs/>
              </w:rPr>
              <w:t xml:space="preserve"> provide publicly accessible data on available advice, support, funding and regulations for underrepresented, disadvantaged and vulnerable groups.</w:t>
            </w:r>
          </w:p>
          <w:p w14:paraId="2157EF73" w14:textId="6B26DE95" w:rsidR="00B25099" w:rsidRPr="009C7408" w:rsidRDefault="00B25099" w:rsidP="00B25099">
            <w:pPr>
              <w:pBdr>
                <w:top w:val="nil"/>
                <w:left w:val="nil"/>
                <w:bottom w:val="nil"/>
                <w:right w:val="nil"/>
                <w:between w:val="nil"/>
              </w:pBdr>
              <w:ind w:left="720"/>
              <w:jc w:val="both"/>
              <w:rPr>
                <w:rFonts w:ascii="Times New Roman" w:eastAsia="Times New Roman" w:hAnsi="Times New Roman" w:cs="Times New Roman"/>
                <w:bCs/>
              </w:rPr>
            </w:pPr>
          </w:p>
        </w:tc>
      </w:tr>
      <w:tr w:rsidR="009C7408" w:rsidRPr="009C7408" w14:paraId="5F69CDCB" w14:textId="77777777" w:rsidTr="009C7408">
        <w:tc>
          <w:tcPr>
            <w:tcW w:w="9010" w:type="dxa"/>
            <w:shd w:val="clear" w:color="auto" w:fill="auto"/>
          </w:tcPr>
          <w:p w14:paraId="544F425B" w14:textId="5585B52F" w:rsidR="00152FC0" w:rsidRPr="009C7408" w:rsidRDefault="0080179B">
            <w:pPr>
              <w:jc w:val="both"/>
              <w:rPr>
                <w:rFonts w:ascii="Times New Roman" w:eastAsia="Times New Roman" w:hAnsi="Times New Roman" w:cs="Times New Roman"/>
                <w:b/>
              </w:rPr>
            </w:pPr>
            <w:r w:rsidRPr="009C7408">
              <w:rPr>
                <w:rFonts w:ascii="Times New Roman" w:eastAsia="Times New Roman" w:hAnsi="Times New Roman" w:cs="Times New Roman"/>
                <w:b/>
              </w:rPr>
              <w:lastRenderedPageBreak/>
              <w:t xml:space="preserve">2. </w:t>
            </w:r>
            <w:r w:rsidR="00CA6DE3">
              <w:rPr>
                <w:rFonts w:ascii="Times New Roman" w:eastAsia="Times New Roman" w:hAnsi="Times New Roman" w:cs="Times New Roman"/>
                <w:b/>
              </w:rPr>
              <w:t>Public authority</w:t>
            </w:r>
            <w:r w:rsidRPr="009C7408">
              <w:rPr>
                <w:rFonts w:ascii="Times New Roman" w:eastAsia="Times New Roman" w:hAnsi="Times New Roman" w:cs="Times New Roman"/>
                <w:b/>
              </w:rPr>
              <w:t xml:space="preserve"> has integrated diversity, equity and inclusion in education into the mandate of the top-level coordination mechanisms between different levels of education</w:t>
            </w:r>
            <w:r w:rsidR="005A5966" w:rsidRPr="009C7408">
              <w:rPr>
                <w:rFonts w:ascii="Times New Roman" w:eastAsia="Times New Roman" w:hAnsi="Times New Roman" w:cs="Times New Roman"/>
                <w:b/>
              </w:rPr>
              <w:t xml:space="preserve"> (Eurydice, 2022)</w:t>
            </w:r>
            <w:r w:rsidRPr="009C7408">
              <w:rPr>
                <w:rFonts w:ascii="Times New Roman" w:eastAsia="Times New Roman" w:hAnsi="Times New Roman" w:cs="Times New Roman"/>
                <w:b/>
              </w:rPr>
              <w:t>.</w:t>
            </w:r>
          </w:p>
          <w:p w14:paraId="2D80A3F5" w14:textId="58DE00F0" w:rsidR="00F46403" w:rsidRPr="009C7408" w:rsidRDefault="00170CCE">
            <w:pPr>
              <w:numPr>
                <w:ilvl w:val="0"/>
                <w:numId w:val="17"/>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F46403" w:rsidRPr="009C7408">
              <w:rPr>
                <w:rFonts w:ascii="Times New Roman" w:eastAsia="Times New Roman" w:hAnsi="Times New Roman" w:cs="Times New Roman"/>
                <w:bCs/>
              </w:rPr>
              <w:t xml:space="preserve"> coordinates a shared vision on diversity, equity and inclusion between </w:t>
            </w:r>
            <w:r w:rsidR="00D47779" w:rsidRPr="009C7408">
              <w:rPr>
                <w:rFonts w:ascii="Times New Roman" w:eastAsia="Times New Roman" w:hAnsi="Times New Roman" w:cs="Times New Roman"/>
                <w:bCs/>
              </w:rPr>
              <w:t xml:space="preserve">students and </w:t>
            </w:r>
            <w:r w:rsidR="00F46403" w:rsidRPr="009C7408">
              <w:rPr>
                <w:rFonts w:ascii="Times New Roman" w:eastAsia="Times New Roman" w:hAnsi="Times New Roman" w:cs="Times New Roman"/>
                <w:bCs/>
              </w:rPr>
              <w:t xml:space="preserve">staff </w:t>
            </w:r>
            <w:r w:rsidR="00335541" w:rsidRPr="009C7408">
              <w:rPr>
                <w:rFonts w:ascii="Times New Roman" w:eastAsia="Times New Roman" w:hAnsi="Times New Roman" w:cs="Times New Roman"/>
                <w:bCs/>
              </w:rPr>
              <w:t>on all levels of education</w:t>
            </w:r>
            <w:r w:rsidR="00F46403" w:rsidRPr="009C7408">
              <w:rPr>
                <w:rFonts w:ascii="Times New Roman" w:eastAsia="Times New Roman" w:hAnsi="Times New Roman" w:cs="Times New Roman"/>
                <w:bCs/>
              </w:rPr>
              <w:t>.</w:t>
            </w:r>
          </w:p>
          <w:p w14:paraId="6E65301E" w14:textId="6848BDC3" w:rsidR="00005623" w:rsidRPr="009C7408" w:rsidRDefault="00170CCE">
            <w:pPr>
              <w:numPr>
                <w:ilvl w:val="0"/>
                <w:numId w:val="17"/>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005623" w:rsidRPr="009C7408">
              <w:rPr>
                <w:rFonts w:ascii="Times New Roman" w:eastAsia="Times New Roman" w:hAnsi="Times New Roman" w:cs="Times New Roman"/>
                <w:bCs/>
              </w:rPr>
              <w:t xml:space="preserve"> includes representatives from underrepresented, disadvantaged and vulnerable learning groups, student and staff unions in the top</w:t>
            </w:r>
            <w:r w:rsidR="00710401" w:rsidRPr="009C7408">
              <w:rPr>
                <w:rFonts w:ascii="Times New Roman" w:eastAsia="Times New Roman" w:hAnsi="Times New Roman" w:cs="Times New Roman"/>
                <w:bCs/>
              </w:rPr>
              <w:t>-</w:t>
            </w:r>
            <w:r w:rsidR="00005623" w:rsidRPr="009C7408">
              <w:rPr>
                <w:rFonts w:ascii="Times New Roman" w:eastAsia="Times New Roman" w:hAnsi="Times New Roman" w:cs="Times New Roman"/>
                <w:bCs/>
              </w:rPr>
              <w:t>level coordination mechanisms between different levels of education.</w:t>
            </w:r>
          </w:p>
          <w:p w14:paraId="418D28FA" w14:textId="6C95E11A" w:rsidR="00847AAC" w:rsidRPr="009C7408" w:rsidRDefault="00847AAC" w:rsidP="003B6C50">
            <w:pPr>
              <w:pBdr>
                <w:top w:val="nil"/>
                <w:left w:val="nil"/>
                <w:bottom w:val="nil"/>
                <w:right w:val="nil"/>
                <w:between w:val="nil"/>
              </w:pBdr>
              <w:ind w:left="720"/>
              <w:jc w:val="both"/>
              <w:rPr>
                <w:rFonts w:ascii="Times New Roman" w:eastAsia="Times New Roman" w:hAnsi="Times New Roman" w:cs="Times New Roman"/>
                <w:bCs/>
              </w:rPr>
            </w:pPr>
          </w:p>
        </w:tc>
      </w:tr>
      <w:tr w:rsidR="009C7408" w:rsidRPr="009C7408" w14:paraId="391A286B" w14:textId="77777777" w:rsidTr="009C7408">
        <w:tc>
          <w:tcPr>
            <w:tcW w:w="9010" w:type="dxa"/>
            <w:shd w:val="clear" w:color="auto" w:fill="auto"/>
          </w:tcPr>
          <w:p w14:paraId="7908CFD1" w14:textId="54725DD3" w:rsidR="00152FC0" w:rsidRPr="009C7408" w:rsidRDefault="0080179B">
            <w:pPr>
              <w:jc w:val="both"/>
              <w:rPr>
                <w:rFonts w:ascii="Times New Roman" w:eastAsia="Times New Roman" w:hAnsi="Times New Roman" w:cs="Times New Roman"/>
                <w:b/>
              </w:rPr>
            </w:pPr>
            <w:r w:rsidRPr="009C7408">
              <w:rPr>
                <w:rFonts w:ascii="Times New Roman" w:eastAsia="Times New Roman" w:hAnsi="Times New Roman" w:cs="Times New Roman"/>
                <w:b/>
              </w:rPr>
              <w:t xml:space="preserve">3. </w:t>
            </w:r>
            <w:r w:rsidR="00170CCE" w:rsidRPr="00170CCE">
              <w:rPr>
                <w:rFonts w:ascii="Times New Roman" w:eastAsia="Times New Roman" w:hAnsi="Times New Roman" w:cs="Times New Roman"/>
                <w:b/>
              </w:rPr>
              <w:t>Public authority</w:t>
            </w:r>
            <w:r w:rsidRPr="009C7408">
              <w:rPr>
                <w:rFonts w:ascii="Times New Roman" w:eastAsia="Times New Roman" w:hAnsi="Times New Roman" w:cs="Times New Roman"/>
                <w:b/>
              </w:rPr>
              <w:t xml:space="preserve"> </w:t>
            </w:r>
            <w:r w:rsidR="00C37898" w:rsidRPr="009C7408">
              <w:rPr>
                <w:rFonts w:ascii="Times New Roman" w:eastAsia="Times New Roman" w:hAnsi="Times New Roman" w:cs="Times New Roman"/>
                <w:b/>
              </w:rPr>
              <w:t xml:space="preserve">systematically </w:t>
            </w:r>
            <w:r w:rsidRPr="009C7408">
              <w:rPr>
                <w:rFonts w:ascii="Times New Roman" w:eastAsia="Times New Roman" w:hAnsi="Times New Roman" w:cs="Times New Roman"/>
                <w:b/>
              </w:rPr>
              <w:t xml:space="preserve">involves representatives of other related policy areas, such as finance, employment, </w:t>
            </w:r>
            <w:r w:rsidR="008F2C86" w:rsidRPr="009C7408">
              <w:rPr>
                <w:rFonts w:ascii="Times New Roman" w:eastAsia="Times New Roman" w:hAnsi="Times New Roman" w:cs="Times New Roman"/>
                <w:b/>
              </w:rPr>
              <w:t>housing,</w:t>
            </w:r>
            <w:r w:rsidRPr="009C7408">
              <w:rPr>
                <w:rFonts w:ascii="Times New Roman" w:eastAsia="Times New Roman" w:hAnsi="Times New Roman" w:cs="Times New Roman"/>
                <w:b/>
              </w:rPr>
              <w:t xml:space="preserve"> or other social services in policy discussions on diversity, equity and inclusion in education</w:t>
            </w:r>
            <w:r w:rsidR="00710401" w:rsidRPr="009C7408">
              <w:rPr>
                <w:rFonts w:ascii="Times New Roman" w:eastAsia="Times New Roman" w:hAnsi="Times New Roman" w:cs="Times New Roman"/>
                <w:b/>
              </w:rPr>
              <w:t xml:space="preserve"> (Eurydice, 2022)</w:t>
            </w:r>
            <w:r w:rsidRPr="009C7408">
              <w:rPr>
                <w:rFonts w:ascii="Times New Roman" w:eastAsia="Times New Roman" w:hAnsi="Times New Roman" w:cs="Times New Roman"/>
                <w:b/>
              </w:rPr>
              <w:t>.</w:t>
            </w:r>
          </w:p>
          <w:p w14:paraId="3F49275C" w14:textId="1686B0D8" w:rsidR="00B06E31" w:rsidRDefault="00170CCE" w:rsidP="00B06E31">
            <w:pPr>
              <w:numPr>
                <w:ilvl w:val="0"/>
                <w:numId w:val="9"/>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B06E31" w:rsidRPr="009C7408">
              <w:rPr>
                <w:rFonts w:ascii="Times New Roman" w:eastAsia="Times New Roman" w:hAnsi="Times New Roman" w:cs="Times New Roman"/>
                <w:bCs/>
              </w:rPr>
              <w:t xml:space="preserve"> </w:t>
            </w:r>
            <w:r w:rsidR="002A6C25">
              <w:rPr>
                <w:rFonts w:ascii="Times New Roman" w:eastAsia="Times New Roman" w:hAnsi="Times New Roman" w:cs="Times New Roman"/>
                <w:bCs/>
              </w:rPr>
              <w:t xml:space="preserve">provides support and guidance to </w:t>
            </w:r>
            <w:r w:rsidR="00B06E31" w:rsidRPr="009C7408">
              <w:rPr>
                <w:rFonts w:ascii="Times New Roman" w:eastAsia="Times New Roman" w:hAnsi="Times New Roman" w:cs="Times New Roman"/>
                <w:bCs/>
              </w:rPr>
              <w:t xml:space="preserve">educational institutions </w:t>
            </w:r>
            <w:r w:rsidR="00B06E31">
              <w:rPr>
                <w:rFonts w:ascii="Times New Roman" w:eastAsia="Times New Roman" w:hAnsi="Times New Roman" w:cs="Times New Roman"/>
                <w:bCs/>
              </w:rPr>
              <w:t>and</w:t>
            </w:r>
            <w:r w:rsidR="00B06E31" w:rsidRPr="009C7408">
              <w:rPr>
                <w:rFonts w:ascii="Times New Roman" w:eastAsia="Times New Roman" w:hAnsi="Times New Roman" w:cs="Times New Roman"/>
                <w:bCs/>
              </w:rPr>
              <w:t xml:space="preserve"> </w:t>
            </w:r>
            <w:r>
              <w:rPr>
                <w:rFonts w:ascii="Times New Roman" w:eastAsia="Times New Roman" w:hAnsi="Times New Roman" w:cs="Times New Roman"/>
                <w:bCs/>
              </w:rPr>
              <w:t xml:space="preserve">connects </w:t>
            </w:r>
            <w:r w:rsidR="00B06E31" w:rsidRPr="009C7408">
              <w:rPr>
                <w:rFonts w:ascii="Times New Roman" w:eastAsia="Times New Roman" w:hAnsi="Times New Roman" w:cs="Times New Roman"/>
                <w:bCs/>
              </w:rPr>
              <w:t xml:space="preserve">representatives of other policy areas </w:t>
            </w:r>
            <w:r w:rsidR="00B06E31">
              <w:rPr>
                <w:rFonts w:ascii="Times New Roman" w:eastAsia="Times New Roman" w:hAnsi="Times New Roman" w:cs="Times New Roman"/>
                <w:bCs/>
              </w:rPr>
              <w:t>to cooperate on solving the financing, employment, housing and related issues to help</w:t>
            </w:r>
            <w:r w:rsidR="00B06E31" w:rsidRPr="009C7408">
              <w:rPr>
                <w:rFonts w:ascii="Times New Roman" w:eastAsia="Times New Roman" w:hAnsi="Times New Roman" w:cs="Times New Roman"/>
                <w:bCs/>
              </w:rPr>
              <w:t xml:space="preserve"> underrepresented, disadvantaged and vulnerable </w:t>
            </w:r>
            <w:r w:rsidR="00B06E31">
              <w:rPr>
                <w:rFonts w:ascii="Times New Roman" w:eastAsia="Times New Roman" w:hAnsi="Times New Roman" w:cs="Times New Roman"/>
                <w:bCs/>
              </w:rPr>
              <w:t>students avert the obstacles that hinder their involvement in general and further education.</w:t>
            </w:r>
          </w:p>
          <w:p w14:paraId="271BF081" w14:textId="7B669AF9" w:rsidR="001831CB" w:rsidRPr="00B06E31" w:rsidRDefault="00170CCE" w:rsidP="00B06E31">
            <w:pPr>
              <w:numPr>
                <w:ilvl w:val="0"/>
                <w:numId w:val="9"/>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1831CB" w:rsidRPr="001831CB">
              <w:rPr>
                <w:rFonts w:ascii="Times New Roman" w:eastAsia="Times New Roman" w:hAnsi="Times New Roman" w:cs="Times New Roman"/>
                <w:bCs/>
              </w:rPr>
              <w:t xml:space="preserve"> actively engages and coordinates with representatives of other </w:t>
            </w:r>
            <w:r w:rsidR="001831CB">
              <w:rPr>
                <w:rFonts w:ascii="Times New Roman" w:eastAsia="Times New Roman" w:hAnsi="Times New Roman" w:cs="Times New Roman"/>
                <w:bCs/>
              </w:rPr>
              <w:t xml:space="preserve">related </w:t>
            </w:r>
            <w:r w:rsidR="001831CB" w:rsidRPr="001831CB">
              <w:rPr>
                <w:rFonts w:ascii="Times New Roman" w:eastAsia="Times New Roman" w:hAnsi="Times New Roman" w:cs="Times New Roman"/>
                <w:bCs/>
              </w:rPr>
              <w:t>policy areas, such as finance, employment, housing or other social services in creating shared commitments to the enhancement of diversity, equity and inclusion in education.</w:t>
            </w:r>
          </w:p>
          <w:p w14:paraId="023EAA5B" w14:textId="0B31D947" w:rsidR="008F2C86" w:rsidRPr="009C7408" w:rsidRDefault="008F2C86" w:rsidP="00053C39">
            <w:pPr>
              <w:pBdr>
                <w:top w:val="nil"/>
                <w:left w:val="nil"/>
                <w:bottom w:val="nil"/>
                <w:right w:val="nil"/>
                <w:between w:val="nil"/>
              </w:pBdr>
              <w:ind w:left="720"/>
              <w:jc w:val="both"/>
              <w:rPr>
                <w:rFonts w:ascii="Times New Roman" w:eastAsia="Times New Roman" w:hAnsi="Times New Roman" w:cs="Times New Roman"/>
                <w:bCs/>
              </w:rPr>
            </w:pPr>
          </w:p>
        </w:tc>
      </w:tr>
      <w:tr w:rsidR="009C7408" w:rsidRPr="009C7408" w14:paraId="27C4CC35" w14:textId="77777777" w:rsidTr="009C7408">
        <w:tc>
          <w:tcPr>
            <w:tcW w:w="9010" w:type="dxa"/>
            <w:shd w:val="clear" w:color="auto" w:fill="auto"/>
          </w:tcPr>
          <w:p w14:paraId="3B8D7607" w14:textId="18631BBE" w:rsidR="00152FC0" w:rsidRPr="009C7408" w:rsidRDefault="0080179B">
            <w:pPr>
              <w:jc w:val="both"/>
              <w:rPr>
                <w:rFonts w:ascii="Times New Roman" w:eastAsia="Times New Roman" w:hAnsi="Times New Roman" w:cs="Times New Roman"/>
                <w:b/>
              </w:rPr>
            </w:pPr>
            <w:r w:rsidRPr="009C7408">
              <w:rPr>
                <w:rFonts w:ascii="Times New Roman" w:eastAsia="Times New Roman" w:hAnsi="Times New Roman" w:cs="Times New Roman"/>
                <w:b/>
              </w:rPr>
              <w:t xml:space="preserve">4. </w:t>
            </w:r>
            <w:r w:rsidR="00170CCE">
              <w:rPr>
                <w:rFonts w:ascii="Times New Roman" w:eastAsia="Times New Roman" w:hAnsi="Times New Roman" w:cs="Times New Roman"/>
                <w:b/>
              </w:rPr>
              <w:t>Public authority</w:t>
            </w:r>
            <w:r w:rsidRPr="009C7408">
              <w:rPr>
                <w:rFonts w:ascii="Times New Roman" w:eastAsia="Times New Roman" w:hAnsi="Times New Roman" w:cs="Times New Roman"/>
                <w:b/>
              </w:rPr>
              <w:t xml:space="preserve"> provides support to </w:t>
            </w:r>
            <w:r w:rsidR="004F3FF6" w:rsidRPr="009C7408">
              <w:rPr>
                <w:rFonts w:ascii="Times New Roman" w:eastAsia="Times New Roman" w:hAnsi="Times New Roman" w:cs="Times New Roman"/>
                <w:b/>
              </w:rPr>
              <w:t>students with a delayed transition</w:t>
            </w:r>
            <w:r w:rsidRPr="009C7408">
              <w:rPr>
                <w:rFonts w:ascii="Times New Roman" w:eastAsia="Times New Roman" w:hAnsi="Times New Roman" w:cs="Times New Roman"/>
                <w:b/>
              </w:rPr>
              <w:t xml:space="preserve"> </w:t>
            </w:r>
            <w:r w:rsidR="003D3943" w:rsidRPr="009C7408">
              <w:rPr>
                <w:rFonts w:ascii="Times New Roman" w:eastAsia="Times New Roman" w:hAnsi="Times New Roman" w:cs="Times New Roman"/>
                <w:b/>
              </w:rPr>
              <w:t>into</w:t>
            </w:r>
            <w:r w:rsidRPr="009C7408">
              <w:rPr>
                <w:rFonts w:ascii="Times New Roman" w:eastAsia="Times New Roman" w:hAnsi="Times New Roman" w:cs="Times New Roman"/>
                <w:b/>
              </w:rPr>
              <w:t xml:space="preserve"> </w:t>
            </w:r>
            <w:r w:rsidR="00170CCE">
              <w:rPr>
                <w:rFonts w:ascii="Times New Roman" w:eastAsia="Times New Roman" w:hAnsi="Times New Roman" w:cs="Times New Roman"/>
                <w:b/>
              </w:rPr>
              <w:t>higher education</w:t>
            </w:r>
            <w:r w:rsidR="00152EBE" w:rsidRPr="009C7408">
              <w:rPr>
                <w:rFonts w:ascii="Times New Roman" w:eastAsia="Times New Roman" w:hAnsi="Times New Roman" w:cs="Times New Roman"/>
                <w:b/>
              </w:rPr>
              <w:t xml:space="preserve"> (Eurydice, 2022)</w:t>
            </w:r>
            <w:r w:rsidRPr="009C7408">
              <w:rPr>
                <w:rFonts w:ascii="Times New Roman" w:eastAsia="Times New Roman" w:hAnsi="Times New Roman" w:cs="Times New Roman"/>
                <w:b/>
              </w:rPr>
              <w:t>.</w:t>
            </w:r>
          </w:p>
          <w:p w14:paraId="23951ED4" w14:textId="1B0815EE" w:rsidR="00DE4F79" w:rsidRPr="009C7408" w:rsidRDefault="00170CCE">
            <w:pPr>
              <w:numPr>
                <w:ilvl w:val="0"/>
                <w:numId w:val="10"/>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Pr>
                <w:rFonts w:ascii="Times New Roman" w:eastAsia="Times New Roman" w:hAnsi="Times New Roman" w:cs="Times New Roman"/>
                <w:bCs/>
              </w:rPr>
              <w:t xml:space="preserve"> provides</w:t>
            </w:r>
            <w:r w:rsidR="002A6C25">
              <w:rPr>
                <w:rFonts w:ascii="Times New Roman" w:eastAsia="Times New Roman" w:hAnsi="Times New Roman" w:cs="Times New Roman"/>
                <w:bCs/>
              </w:rPr>
              <w:t xml:space="preserve"> a legal framework that ensures</w:t>
            </w:r>
            <w:r w:rsidR="00DE4F79" w:rsidRPr="009C7408">
              <w:rPr>
                <w:rFonts w:ascii="Times New Roman" w:eastAsia="Times New Roman" w:hAnsi="Times New Roman" w:cs="Times New Roman"/>
                <w:bCs/>
              </w:rPr>
              <w:t xml:space="preserve"> there are no age-related restrictions on funding students.</w:t>
            </w:r>
          </w:p>
          <w:p w14:paraId="3CF5BD44" w14:textId="7EFEF490" w:rsidR="00152FC0" w:rsidRDefault="00170CCE">
            <w:pPr>
              <w:numPr>
                <w:ilvl w:val="0"/>
                <w:numId w:val="10"/>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Pr>
                <w:rFonts w:ascii="Times New Roman" w:eastAsia="Times New Roman" w:hAnsi="Times New Roman" w:cs="Times New Roman"/>
                <w:bCs/>
              </w:rPr>
              <w:t xml:space="preserve"> supports</w:t>
            </w:r>
            <w:r w:rsidR="0080179B" w:rsidRPr="009C7408">
              <w:rPr>
                <w:rFonts w:ascii="Times New Roman" w:eastAsia="Times New Roman" w:hAnsi="Times New Roman" w:cs="Times New Roman"/>
                <w:bCs/>
              </w:rPr>
              <w:t xml:space="preserve"> public service </w:t>
            </w:r>
            <w:r w:rsidR="009C2B8C" w:rsidRPr="009C7408">
              <w:rPr>
                <w:rFonts w:ascii="Times New Roman" w:eastAsia="Times New Roman" w:hAnsi="Times New Roman" w:cs="Times New Roman"/>
                <w:bCs/>
              </w:rPr>
              <w:t>centers</w:t>
            </w:r>
            <w:r w:rsidR="00FB4FB3">
              <w:rPr>
                <w:rFonts w:ascii="Times New Roman" w:eastAsia="Times New Roman" w:hAnsi="Times New Roman" w:cs="Times New Roman"/>
                <w:bCs/>
              </w:rPr>
              <w:t xml:space="preserve"> outside of higher education system</w:t>
            </w:r>
            <w:r w:rsidR="0080179B" w:rsidRPr="009C7408">
              <w:rPr>
                <w:rFonts w:ascii="Times New Roman" w:eastAsia="Times New Roman" w:hAnsi="Times New Roman" w:cs="Times New Roman"/>
                <w:bCs/>
              </w:rPr>
              <w:t xml:space="preserve"> with </w:t>
            </w:r>
            <w:r w:rsidR="002A6C25">
              <w:rPr>
                <w:rFonts w:ascii="Times New Roman" w:eastAsia="Times New Roman" w:hAnsi="Times New Roman" w:cs="Times New Roman"/>
                <w:bCs/>
              </w:rPr>
              <w:t>information</w:t>
            </w:r>
            <w:r w:rsidR="0080179B" w:rsidRPr="009C7408">
              <w:rPr>
                <w:rFonts w:ascii="Times New Roman" w:eastAsia="Times New Roman" w:hAnsi="Times New Roman" w:cs="Times New Roman"/>
                <w:bCs/>
              </w:rPr>
              <w:t xml:space="preserve"> and guidelines </w:t>
            </w:r>
            <w:r w:rsidR="002A6C25">
              <w:rPr>
                <w:rFonts w:ascii="Times New Roman" w:eastAsia="Times New Roman" w:hAnsi="Times New Roman" w:cs="Times New Roman"/>
                <w:bCs/>
              </w:rPr>
              <w:t>for students with delayed transition</w:t>
            </w:r>
            <w:r w:rsidR="00DE4F79" w:rsidRPr="009C7408">
              <w:rPr>
                <w:rFonts w:ascii="Times New Roman" w:eastAsia="Times New Roman" w:hAnsi="Times New Roman" w:cs="Times New Roman"/>
                <w:bCs/>
              </w:rPr>
              <w:t xml:space="preserve"> in higher</w:t>
            </w:r>
            <w:r w:rsidR="0080179B" w:rsidRPr="009C7408">
              <w:rPr>
                <w:rFonts w:ascii="Times New Roman" w:eastAsia="Times New Roman" w:hAnsi="Times New Roman" w:cs="Times New Roman"/>
                <w:bCs/>
              </w:rPr>
              <w:t xml:space="preserve"> education</w:t>
            </w:r>
            <w:r w:rsidR="00DE4F79" w:rsidRPr="009C7408">
              <w:rPr>
                <w:rFonts w:ascii="Times New Roman" w:eastAsia="Times New Roman" w:hAnsi="Times New Roman" w:cs="Times New Roman"/>
                <w:bCs/>
              </w:rPr>
              <w:t xml:space="preserve"> and </w:t>
            </w:r>
            <w:r w:rsidRPr="009C7408">
              <w:rPr>
                <w:rFonts w:ascii="Times New Roman" w:eastAsia="Times New Roman" w:hAnsi="Times New Roman" w:cs="Times New Roman"/>
                <w:bCs/>
              </w:rPr>
              <w:t xml:space="preserve">with </w:t>
            </w:r>
            <w:r>
              <w:rPr>
                <w:rFonts w:ascii="Times New Roman" w:eastAsia="Times New Roman" w:hAnsi="Times New Roman" w:cs="Times New Roman"/>
                <w:bCs/>
              </w:rPr>
              <w:t>information</w:t>
            </w:r>
            <w:r w:rsidRPr="009C7408">
              <w:rPr>
                <w:rFonts w:ascii="Times New Roman" w:eastAsia="Times New Roman" w:hAnsi="Times New Roman" w:cs="Times New Roman"/>
                <w:bCs/>
              </w:rPr>
              <w:t xml:space="preserve"> and guidelines </w:t>
            </w:r>
            <w:r>
              <w:rPr>
                <w:rFonts w:ascii="Times New Roman" w:eastAsia="Times New Roman" w:hAnsi="Times New Roman" w:cs="Times New Roman"/>
                <w:bCs/>
              </w:rPr>
              <w:t xml:space="preserve">on </w:t>
            </w:r>
            <w:r w:rsidR="00DE4F79" w:rsidRPr="009C7408">
              <w:rPr>
                <w:rFonts w:ascii="Times New Roman" w:eastAsia="Times New Roman" w:hAnsi="Times New Roman" w:cs="Times New Roman"/>
                <w:bCs/>
              </w:rPr>
              <w:t>lifelong learning options in higher education</w:t>
            </w:r>
            <w:r w:rsidR="0080179B" w:rsidRPr="009C7408">
              <w:rPr>
                <w:rFonts w:ascii="Times New Roman" w:eastAsia="Times New Roman" w:hAnsi="Times New Roman" w:cs="Times New Roman"/>
                <w:bCs/>
              </w:rPr>
              <w:t>.</w:t>
            </w:r>
          </w:p>
          <w:p w14:paraId="5843CC4C" w14:textId="6FB7ECD7" w:rsidR="001831CB" w:rsidRPr="009C7408" w:rsidRDefault="00170CCE">
            <w:pPr>
              <w:numPr>
                <w:ilvl w:val="0"/>
                <w:numId w:val="10"/>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1831CB" w:rsidRPr="001831CB">
              <w:rPr>
                <w:rFonts w:ascii="Times New Roman" w:eastAsia="Times New Roman" w:hAnsi="Times New Roman" w:cs="Times New Roman"/>
                <w:bCs/>
              </w:rPr>
              <w:t xml:space="preserve"> </w:t>
            </w:r>
            <w:r w:rsidR="002A6C25">
              <w:rPr>
                <w:rFonts w:ascii="Times New Roman" w:eastAsia="Times New Roman" w:hAnsi="Times New Roman" w:cs="Times New Roman"/>
                <w:bCs/>
              </w:rPr>
              <w:t>provides funding to</w:t>
            </w:r>
            <w:r w:rsidR="001831CB" w:rsidRPr="001831CB">
              <w:rPr>
                <w:rFonts w:ascii="Times New Roman" w:eastAsia="Times New Roman" w:hAnsi="Times New Roman" w:cs="Times New Roman"/>
                <w:bCs/>
              </w:rPr>
              <w:t xml:space="preserve"> </w:t>
            </w:r>
            <w:r w:rsidR="00F07187">
              <w:rPr>
                <w:rFonts w:ascii="Times New Roman" w:eastAsia="Times New Roman" w:hAnsi="Times New Roman" w:cs="Times New Roman"/>
                <w:bCs/>
              </w:rPr>
              <w:t xml:space="preserve">higher education institutions that offer </w:t>
            </w:r>
            <w:r w:rsidR="001831CB" w:rsidRPr="001831CB">
              <w:rPr>
                <w:rFonts w:ascii="Times New Roman" w:eastAsia="Times New Roman" w:hAnsi="Times New Roman" w:cs="Times New Roman"/>
                <w:bCs/>
              </w:rPr>
              <w:t xml:space="preserve">adequate </w:t>
            </w:r>
            <w:r w:rsidR="00F07187" w:rsidRPr="001831CB">
              <w:rPr>
                <w:rFonts w:ascii="Times New Roman" w:eastAsia="Times New Roman" w:hAnsi="Times New Roman" w:cs="Times New Roman"/>
                <w:bCs/>
              </w:rPr>
              <w:t xml:space="preserve">flexibility and </w:t>
            </w:r>
            <w:r w:rsidR="001831CB" w:rsidRPr="001831CB">
              <w:rPr>
                <w:rFonts w:ascii="Times New Roman" w:eastAsia="Times New Roman" w:hAnsi="Times New Roman" w:cs="Times New Roman"/>
                <w:bCs/>
              </w:rPr>
              <w:t xml:space="preserve">support to students with a delayed transition into </w:t>
            </w:r>
            <w:r w:rsidR="00F07187">
              <w:rPr>
                <w:rFonts w:ascii="Times New Roman" w:eastAsia="Times New Roman" w:hAnsi="Times New Roman" w:cs="Times New Roman"/>
                <w:bCs/>
              </w:rPr>
              <w:t>higher education</w:t>
            </w:r>
            <w:r w:rsidR="001831CB" w:rsidRPr="001831CB">
              <w:rPr>
                <w:rFonts w:ascii="Times New Roman" w:eastAsia="Times New Roman" w:hAnsi="Times New Roman" w:cs="Times New Roman"/>
                <w:bCs/>
              </w:rPr>
              <w:t>.</w:t>
            </w:r>
          </w:p>
          <w:p w14:paraId="3A6AA18F" w14:textId="755BCCEA" w:rsidR="004F3FF6" w:rsidRPr="009C7408" w:rsidRDefault="004F3FF6" w:rsidP="00152EBE">
            <w:pPr>
              <w:pBdr>
                <w:top w:val="nil"/>
                <w:left w:val="nil"/>
                <w:bottom w:val="nil"/>
                <w:right w:val="nil"/>
                <w:between w:val="nil"/>
              </w:pBdr>
              <w:ind w:left="720"/>
              <w:jc w:val="both"/>
              <w:rPr>
                <w:rFonts w:ascii="Times New Roman" w:eastAsia="Times New Roman" w:hAnsi="Times New Roman" w:cs="Times New Roman"/>
                <w:bCs/>
              </w:rPr>
            </w:pPr>
          </w:p>
        </w:tc>
      </w:tr>
      <w:tr w:rsidR="009C7408" w:rsidRPr="009C7408" w14:paraId="2D3C55D3" w14:textId="77777777" w:rsidTr="009C7408">
        <w:tc>
          <w:tcPr>
            <w:tcW w:w="9010" w:type="dxa"/>
            <w:shd w:val="clear" w:color="auto" w:fill="auto"/>
          </w:tcPr>
          <w:p w14:paraId="1EE653BD" w14:textId="311930FB" w:rsidR="00152EBE" w:rsidRPr="009C7408" w:rsidRDefault="00152EBE" w:rsidP="00152EBE">
            <w:pPr>
              <w:jc w:val="both"/>
              <w:rPr>
                <w:rFonts w:ascii="Times New Roman" w:eastAsia="Times New Roman" w:hAnsi="Times New Roman" w:cs="Times New Roman"/>
                <w:b/>
              </w:rPr>
            </w:pPr>
            <w:r w:rsidRPr="009C7408">
              <w:rPr>
                <w:rFonts w:ascii="Times New Roman" w:eastAsia="Times New Roman" w:hAnsi="Times New Roman" w:cs="Times New Roman"/>
                <w:b/>
              </w:rPr>
              <w:t>5. Initial and continuous teacher training programmes develop competencies on diversity, equity and inclusion in education (Eurydice, 2022).</w:t>
            </w:r>
          </w:p>
          <w:p w14:paraId="3ABAD9A5" w14:textId="287B57DC" w:rsidR="00152EBE" w:rsidRPr="009C7408" w:rsidRDefault="00152EBE" w:rsidP="00152EBE">
            <w:pPr>
              <w:jc w:val="both"/>
              <w:rPr>
                <w:rFonts w:ascii="Times New Roman" w:eastAsia="Times New Roman" w:hAnsi="Times New Roman" w:cs="Times New Roman"/>
                <w:bCs/>
              </w:rPr>
            </w:pPr>
          </w:p>
        </w:tc>
      </w:tr>
    </w:tbl>
    <w:p w14:paraId="43DADE40" w14:textId="77777777" w:rsidR="00152FC0" w:rsidRDefault="00152FC0">
      <w:pPr>
        <w:rPr>
          <w:rFonts w:ascii="Times New Roman" w:eastAsia="Times New Roman" w:hAnsi="Times New Roman" w:cs="Times New Roman"/>
        </w:rPr>
      </w:pPr>
    </w:p>
    <w:p w14:paraId="60925B2A" w14:textId="77777777" w:rsidR="007C1FBA" w:rsidRDefault="007C1FBA" w:rsidP="007C1FBA">
      <w:pPr>
        <w:jc w:val="both"/>
        <w:rPr>
          <w:rFonts w:ascii="Times New Roman" w:eastAsia="Times New Roman" w:hAnsi="Times New Roman" w:cs="Times New Roman"/>
          <w:sz w:val="24"/>
          <w:szCs w:val="24"/>
        </w:rPr>
      </w:pPr>
    </w:p>
    <w:p w14:paraId="4F628662" w14:textId="77777777" w:rsidR="00152FC0" w:rsidRPr="004922F2" w:rsidRDefault="0080179B" w:rsidP="00D6013A">
      <w:pPr>
        <w:pBdr>
          <w:top w:val="single" w:sz="4" w:space="1" w:color="000000"/>
          <w:left w:val="single" w:sz="4" w:space="4" w:color="000000"/>
          <w:bottom w:val="single" w:sz="4" w:space="1" w:color="000000"/>
          <w:right w:val="single" w:sz="4" w:space="4" w:color="000000"/>
          <w:between w:val="single" w:sz="4" w:space="1" w:color="000000"/>
        </w:pBdr>
        <w:shd w:val="clear" w:color="auto" w:fill="70AD47" w:themeFill="accent6"/>
        <w:jc w:val="both"/>
        <w:rPr>
          <w:rFonts w:ascii="Times New Roman" w:eastAsia="Times New Roman" w:hAnsi="Times New Roman" w:cs="Times New Roman"/>
          <w:b/>
          <w:sz w:val="24"/>
          <w:szCs w:val="24"/>
        </w:rPr>
      </w:pPr>
      <w:r w:rsidRPr="004922F2">
        <w:rPr>
          <w:rFonts w:ascii="Times New Roman" w:eastAsia="Times New Roman" w:hAnsi="Times New Roman" w:cs="Times New Roman"/>
          <w:b/>
          <w:sz w:val="24"/>
          <w:szCs w:val="24"/>
        </w:rPr>
        <w:t>4. Reliable data is a necessary precondition for an evidence-based improvement of the social dimension of higher education. Higher education systems should define the purpose and goals of collecting certain types of data, taking into account the particularities of the national legal frameworks. Adequate capacities to collect, process and use such data to inform and support the social dimension of higher education should be developed.</w:t>
      </w:r>
    </w:p>
    <w:p w14:paraId="11CA2D1B" w14:textId="77777777" w:rsidR="00152FC0" w:rsidRDefault="00152FC0">
      <w:pPr>
        <w:ind w:left="720"/>
        <w:jc w:val="both"/>
        <w:rPr>
          <w:rFonts w:ascii="Times New Roman" w:eastAsia="Times New Roman" w:hAnsi="Times New Roman" w:cs="Times New Roman"/>
          <w:sz w:val="24"/>
          <w:szCs w:val="24"/>
        </w:rPr>
      </w:pPr>
    </w:p>
    <w:p w14:paraId="14310D93" w14:textId="77777777" w:rsidR="00152FC0" w:rsidRPr="00156BFE" w:rsidRDefault="0080179B">
      <w:pPr>
        <w:ind w:left="720"/>
        <w:jc w:val="both"/>
        <w:rPr>
          <w:rFonts w:ascii="Times New Roman" w:eastAsia="Times New Roman" w:hAnsi="Times New Roman" w:cs="Times New Roman"/>
          <w:b/>
        </w:rPr>
      </w:pPr>
      <w:r w:rsidRPr="00156BFE">
        <w:rPr>
          <w:rFonts w:ascii="Times New Roman" w:eastAsia="Times New Roman" w:hAnsi="Times New Roman" w:cs="Times New Roman"/>
          <w:b/>
        </w:rPr>
        <w:t>Guidelines:</w:t>
      </w:r>
    </w:p>
    <w:p w14:paraId="38E26CB0" w14:textId="77777777" w:rsidR="00152FC0" w:rsidRPr="004922F2" w:rsidRDefault="0080179B">
      <w:pPr>
        <w:numPr>
          <w:ilvl w:val="1"/>
          <w:numId w:val="14"/>
        </w:numPr>
        <w:jc w:val="both"/>
        <w:rPr>
          <w:rFonts w:ascii="Times New Roman" w:eastAsia="Times New Roman" w:hAnsi="Times New Roman" w:cs="Times New Roman"/>
        </w:rPr>
      </w:pPr>
      <w:r w:rsidRPr="00156BFE">
        <w:rPr>
          <w:rFonts w:ascii="Times New Roman" w:eastAsia="Times New Roman" w:hAnsi="Times New Roman" w:cs="Times New Roman"/>
        </w:rPr>
        <w:t xml:space="preserve">In order to develop effective policies, continuous national data collection is necessary. </w:t>
      </w:r>
      <w:r w:rsidRPr="004922F2">
        <w:rPr>
          <w:rFonts w:ascii="Times New Roman" w:eastAsia="Times New Roman" w:hAnsi="Times New Roman" w:cs="Times New Roman"/>
        </w:rPr>
        <w:t>Within the limits of national legal frameworks, such data collection should provide information on the composition of the student body, access and participation, drop-out and completion of higher education, including the transition to the labour market after completion of studies, and allow for the identification of vulnerable, disadvantaged and underrepresented groups. </w:t>
      </w:r>
    </w:p>
    <w:p w14:paraId="61705CD3" w14:textId="77777777" w:rsidR="00152FC0" w:rsidRPr="004922F2" w:rsidRDefault="0080179B">
      <w:pPr>
        <w:numPr>
          <w:ilvl w:val="1"/>
          <w:numId w:val="14"/>
        </w:numPr>
        <w:jc w:val="both"/>
        <w:rPr>
          <w:rFonts w:ascii="Times New Roman" w:eastAsia="Times New Roman" w:hAnsi="Times New Roman" w:cs="Times New Roman"/>
        </w:rPr>
      </w:pPr>
      <w:r w:rsidRPr="004922F2">
        <w:rPr>
          <w:rFonts w:ascii="Times New Roman" w:eastAsia="Times New Roman" w:hAnsi="Times New Roman" w:cs="Times New Roman"/>
        </w:rPr>
        <w:lastRenderedPageBreak/>
        <w:t xml:space="preserve">In order to make such data collection comparable internationally, work on categories for administrative data collection that are relevant for the social dimension  should be developed at the EHEA level through Eurostudent or similar surveys. With the aim to rationalize the process and avoid administrative burden on public administration and higher education institutions, this development should take account of existing national practices and relevant data collection processes. </w:t>
      </w:r>
    </w:p>
    <w:p w14:paraId="2EA5F008" w14:textId="77777777" w:rsidR="00152FC0" w:rsidRPr="00156BFE" w:rsidRDefault="0080179B">
      <w:pPr>
        <w:numPr>
          <w:ilvl w:val="1"/>
          <w:numId w:val="14"/>
        </w:numPr>
        <w:jc w:val="both"/>
        <w:rPr>
          <w:rFonts w:ascii="Times New Roman" w:eastAsia="Times New Roman" w:hAnsi="Times New Roman" w:cs="Times New Roman"/>
        </w:rPr>
      </w:pPr>
      <w:r w:rsidRPr="004922F2">
        <w:rPr>
          <w:rFonts w:ascii="Times New Roman" w:eastAsia="Times New Roman" w:hAnsi="Times New Roman" w:cs="Times New Roman"/>
        </w:rPr>
        <w:t>Such national data collection exercises could, where relevant and necessary, be complemented by higher education institutions undertaking additional surveys, research and analysis to better understand vulnerability, disadvantages, and underrepresentation</w:t>
      </w:r>
      <w:r w:rsidRPr="00156BFE">
        <w:rPr>
          <w:rFonts w:ascii="Times New Roman" w:eastAsia="Times New Roman" w:hAnsi="Times New Roman" w:cs="Times New Roman"/>
        </w:rPr>
        <w:t xml:space="preserve"> in education, as well as transitions of students across the education system. </w:t>
      </w:r>
    </w:p>
    <w:p w14:paraId="11AF614A" w14:textId="77777777" w:rsidR="00152FC0" w:rsidRDefault="00152FC0">
      <w:pPr>
        <w:jc w:val="both"/>
        <w:rPr>
          <w:rFonts w:ascii="Times New Roman" w:eastAsia="Times New Roman" w:hAnsi="Times New Roman" w:cs="Times New Roman"/>
          <w:sz w:val="24"/>
          <w:szCs w:val="24"/>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9C7408" w:rsidRPr="00490D6A" w14:paraId="446A76D8" w14:textId="77777777" w:rsidTr="007273CD">
        <w:tc>
          <w:tcPr>
            <w:tcW w:w="9010" w:type="dxa"/>
            <w:shd w:val="clear" w:color="auto" w:fill="auto"/>
          </w:tcPr>
          <w:p w14:paraId="6AFD80CD" w14:textId="77777777" w:rsidR="009C7408" w:rsidRDefault="009C7408" w:rsidP="007273CD">
            <w:pPr>
              <w:jc w:val="both"/>
              <w:rPr>
                <w:rFonts w:ascii="Times New Roman" w:eastAsia="Times New Roman" w:hAnsi="Times New Roman" w:cs="Times New Roman"/>
                <w:b/>
                <w:lang w:val="en-GB"/>
              </w:rPr>
            </w:pPr>
            <w:r w:rsidRPr="00490D6A">
              <w:rPr>
                <w:rFonts w:ascii="Times New Roman" w:eastAsia="Times New Roman" w:hAnsi="Times New Roman" w:cs="Times New Roman"/>
                <w:b/>
                <w:lang w:val="en-GB"/>
              </w:rPr>
              <w:t>Indicators</w:t>
            </w:r>
          </w:p>
          <w:p w14:paraId="35060E97" w14:textId="2D673232" w:rsidR="00187DF3" w:rsidRPr="00490D6A" w:rsidRDefault="00187DF3" w:rsidP="007273CD">
            <w:pPr>
              <w:jc w:val="both"/>
              <w:rPr>
                <w:rFonts w:ascii="Times New Roman" w:eastAsia="Times New Roman" w:hAnsi="Times New Roman" w:cs="Times New Roman"/>
                <w:b/>
                <w:lang w:val="en-GB"/>
              </w:rPr>
            </w:pPr>
          </w:p>
        </w:tc>
      </w:tr>
      <w:tr w:rsidR="009C7408" w:rsidRPr="00490D6A" w14:paraId="672EA6B9" w14:textId="77777777" w:rsidTr="007273CD">
        <w:tc>
          <w:tcPr>
            <w:tcW w:w="9010" w:type="dxa"/>
          </w:tcPr>
          <w:p w14:paraId="435E1AF4" w14:textId="37849858" w:rsidR="009C7408" w:rsidRPr="00490D6A" w:rsidRDefault="009C7408" w:rsidP="007273CD">
            <w:pPr>
              <w:jc w:val="both"/>
              <w:rPr>
                <w:rFonts w:ascii="Times New Roman" w:eastAsia="Times New Roman" w:hAnsi="Times New Roman" w:cs="Times New Roman"/>
                <w:b/>
                <w:bCs/>
                <w:lang w:val="en-GB"/>
              </w:rPr>
            </w:pPr>
            <w:r w:rsidRPr="00490D6A">
              <w:rPr>
                <w:rFonts w:ascii="Times New Roman" w:eastAsia="Times New Roman" w:hAnsi="Times New Roman" w:cs="Times New Roman"/>
                <w:b/>
                <w:bCs/>
                <w:lang w:val="en-GB"/>
              </w:rPr>
              <w:t xml:space="preserve">1. Existence </w:t>
            </w:r>
            <w:r w:rsidR="002A6C25">
              <w:rPr>
                <w:rFonts w:ascii="Times New Roman" w:eastAsia="Times New Roman" w:hAnsi="Times New Roman" w:cs="Times New Roman"/>
                <w:b/>
                <w:bCs/>
                <w:lang w:val="en-GB"/>
              </w:rPr>
              <w:t>of regular</w:t>
            </w:r>
            <w:r w:rsidRPr="00490D6A">
              <w:rPr>
                <w:rFonts w:ascii="Times New Roman" w:eastAsia="Times New Roman" w:hAnsi="Times New Roman" w:cs="Times New Roman"/>
                <w:b/>
                <w:bCs/>
                <w:lang w:val="en-GB"/>
              </w:rPr>
              <w:t xml:space="preserve"> national data collection on student characteristics and experiences prior to entry in </w:t>
            </w:r>
            <w:r w:rsidR="00CD3900">
              <w:rPr>
                <w:rFonts w:ascii="Times New Roman" w:eastAsia="Times New Roman" w:hAnsi="Times New Roman" w:cs="Times New Roman"/>
                <w:b/>
                <w:bCs/>
                <w:lang w:val="en-GB"/>
              </w:rPr>
              <w:t>higher education</w:t>
            </w:r>
            <w:r w:rsidRPr="00490D6A">
              <w:rPr>
                <w:rFonts w:ascii="Times New Roman" w:eastAsia="Times New Roman" w:hAnsi="Times New Roman" w:cs="Times New Roman"/>
                <w:b/>
                <w:bCs/>
                <w:lang w:val="en-GB"/>
              </w:rPr>
              <w:t xml:space="preserve"> as well as at entry in </w:t>
            </w:r>
            <w:r w:rsidR="00AE74DE">
              <w:rPr>
                <w:rFonts w:ascii="Times New Roman" w:eastAsia="Times New Roman" w:hAnsi="Times New Roman" w:cs="Times New Roman"/>
                <w:b/>
                <w:bCs/>
                <w:lang w:val="en-GB"/>
              </w:rPr>
              <w:t>higher education</w:t>
            </w:r>
            <w:r w:rsidRPr="00490D6A">
              <w:rPr>
                <w:rFonts w:ascii="Times New Roman" w:eastAsia="Times New Roman" w:hAnsi="Times New Roman" w:cs="Times New Roman"/>
                <w:b/>
                <w:bCs/>
                <w:lang w:val="en-GB"/>
              </w:rPr>
              <w:t xml:space="preserve">, during studies and upon graduation (Eurydice, 2022). </w:t>
            </w:r>
          </w:p>
          <w:p w14:paraId="68C43D51" w14:textId="7113C479" w:rsidR="00F356FD" w:rsidRPr="00EE0891" w:rsidRDefault="00F356FD" w:rsidP="00B06E31">
            <w:pPr>
              <w:numPr>
                <w:ilvl w:val="0"/>
                <w:numId w:val="25"/>
              </w:numPr>
              <w:jc w:val="both"/>
              <w:rPr>
                <w:rFonts w:ascii="Times New Roman" w:eastAsia="Times New Roman" w:hAnsi="Times New Roman" w:cs="Times New Roman"/>
                <w:lang w:val="en-GB"/>
              </w:rPr>
            </w:pPr>
            <w:r w:rsidRPr="00490D6A">
              <w:rPr>
                <w:rFonts w:ascii="Times New Roman" w:eastAsia="Times New Roman" w:hAnsi="Times New Roman" w:cs="Times New Roman"/>
                <w:lang w:val="en-GB"/>
              </w:rPr>
              <w:t xml:space="preserve">Existence of </w:t>
            </w:r>
            <w:r w:rsidR="00CD3900">
              <w:rPr>
                <w:rFonts w:ascii="Times New Roman" w:eastAsia="Times New Roman" w:hAnsi="Times New Roman" w:cs="Times New Roman"/>
                <w:lang w:val="en-GB"/>
              </w:rPr>
              <w:t xml:space="preserve">regular national </w:t>
            </w:r>
            <w:r w:rsidRPr="00490D6A">
              <w:rPr>
                <w:rFonts w:ascii="Times New Roman" w:eastAsia="Times New Roman" w:hAnsi="Times New Roman" w:cs="Times New Roman"/>
                <w:lang w:val="en-GB"/>
              </w:rPr>
              <w:t>surveys or administrative data collection on student characteristics among potential students</w:t>
            </w:r>
            <w:r>
              <w:rPr>
                <w:rFonts w:ascii="Times New Roman" w:eastAsia="Times New Roman" w:hAnsi="Times New Roman" w:cs="Times New Roman"/>
                <w:lang w:val="en-GB"/>
              </w:rPr>
              <w:t xml:space="preserve">, students on entry to </w:t>
            </w:r>
            <w:r w:rsidR="00CD3900">
              <w:rPr>
                <w:rFonts w:ascii="Times New Roman" w:eastAsia="Times New Roman" w:hAnsi="Times New Roman" w:cs="Times New Roman"/>
                <w:lang w:val="en-GB"/>
              </w:rPr>
              <w:t>higher education</w:t>
            </w:r>
            <w:r>
              <w:rPr>
                <w:rFonts w:ascii="Times New Roman" w:eastAsia="Times New Roman" w:hAnsi="Times New Roman" w:cs="Times New Roman"/>
                <w:lang w:val="en-GB"/>
              </w:rPr>
              <w:t xml:space="preserve"> and students participating in </w:t>
            </w:r>
            <w:r w:rsidR="00CD3900">
              <w:rPr>
                <w:rFonts w:ascii="Times New Roman" w:eastAsia="Times New Roman" w:hAnsi="Times New Roman" w:cs="Times New Roman"/>
                <w:lang w:val="en-GB"/>
              </w:rPr>
              <w:t>higher education</w:t>
            </w:r>
            <w:r w:rsidR="002A6C25">
              <w:rPr>
                <w:rFonts w:ascii="Times New Roman" w:eastAsia="Times New Roman" w:hAnsi="Times New Roman" w:cs="Times New Roman"/>
                <w:lang w:val="en-GB"/>
              </w:rPr>
              <w:t>, with a focus on underrepresented, disadvantaged and vulnerable students.</w:t>
            </w:r>
          </w:p>
          <w:p w14:paraId="0C09CFB8" w14:textId="66E130DE" w:rsidR="009C7408" w:rsidRDefault="009C7408" w:rsidP="00B06E31">
            <w:pPr>
              <w:numPr>
                <w:ilvl w:val="0"/>
                <w:numId w:val="25"/>
              </w:numPr>
              <w:jc w:val="both"/>
              <w:rPr>
                <w:rFonts w:ascii="Times New Roman" w:eastAsia="Times New Roman" w:hAnsi="Times New Roman" w:cs="Times New Roman"/>
                <w:lang w:val="en-GB"/>
              </w:rPr>
            </w:pPr>
            <w:r w:rsidRPr="00490D6A">
              <w:rPr>
                <w:rFonts w:ascii="Times New Roman" w:eastAsia="Times New Roman" w:hAnsi="Times New Roman" w:cs="Times New Roman"/>
                <w:lang w:val="en-GB"/>
              </w:rPr>
              <w:t xml:space="preserve">Existence of </w:t>
            </w:r>
            <w:r w:rsidR="0095250A">
              <w:rPr>
                <w:rFonts w:ascii="Times New Roman" w:eastAsia="Times New Roman" w:hAnsi="Times New Roman" w:cs="Times New Roman"/>
                <w:lang w:val="en-GB"/>
              </w:rPr>
              <w:t xml:space="preserve">regular national </w:t>
            </w:r>
            <w:r w:rsidRPr="00490D6A">
              <w:rPr>
                <w:rFonts w:ascii="Times New Roman" w:eastAsia="Times New Roman" w:hAnsi="Times New Roman" w:cs="Times New Roman"/>
                <w:lang w:val="en-GB"/>
              </w:rPr>
              <w:t>surveys and administrative</w:t>
            </w:r>
            <w:r w:rsidR="002A6C25">
              <w:rPr>
                <w:rFonts w:ascii="Times New Roman" w:eastAsia="Times New Roman" w:hAnsi="Times New Roman" w:cs="Times New Roman"/>
                <w:lang w:val="en-GB"/>
              </w:rPr>
              <w:t xml:space="preserve"> </w:t>
            </w:r>
            <w:r w:rsidRPr="00490D6A">
              <w:rPr>
                <w:rFonts w:ascii="Times New Roman" w:eastAsia="Times New Roman" w:hAnsi="Times New Roman" w:cs="Times New Roman"/>
                <w:lang w:val="en-GB"/>
              </w:rPr>
              <w:t xml:space="preserve">data collection on student dropout. </w:t>
            </w:r>
          </w:p>
          <w:p w14:paraId="681C93F5" w14:textId="1DBC5300" w:rsidR="0095250A" w:rsidRPr="00490D6A" w:rsidRDefault="0095250A" w:rsidP="00B06E31">
            <w:pPr>
              <w:numPr>
                <w:ilvl w:val="0"/>
                <w:numId w:val="25"/>
              </w:numPr>
              <w:jc w:val="both"/>
              <w:rPr>
                <w:rFonts w:ascii="Times New Roman" w:eastAsia="Times New Roman" w:hAnsi="Times New Roman" w:cs="Times New Roman"/>
                <w:lang w:val="en-GB"/>
              </w:rPr>
            </w:pPr>
            <w:r w:rsidRPr="00490D6A">
              <w:rPr>
                <w:rFonts w:ascii="Times New Roman" w:eastAsia="Times New Roman" w:hAnsi="Times New Roman" w:cs="Times New Roman"/>
                <w:lang w:val="en-GB"/>
              </w:rPr>
              <w:t>Completion rate data at the end of the first year of the first cycle is available to top level policy makers (Eurydice, 2022).</w:t>
            </w:r>
          </w:p>
          <w:p w14:paraId="6F727712" w14:textId="4AA10151" w:rsidR="009C7408" w:rsidRPr="00490D6A" w:rsidRDefault="009C7408" w:rsidP="00B06E31">
            <w:pPr>
              <w:numPr>
                <w:ilvl w:val="0"/>
                <w:numId w:val="25"/>
              </w:numPr>
              <w:jc w:val="both"/>
              <w:rPr>
                <w:rFonts w:ascii="Times New Roman" w:eastAsia="Times New Roman" w:hAnsi="Times New Roman" w:cs="Times New Roman"/>
                <w:lang w:val="en-GB"/>
              </w:rPr>
            </w:pPr>
            <w:r w:rsidRPr="00490D6A">
              <w:rPr>
                <w:rFonts w:ascii="Times New Roman" w:eastAsia="Times New Roman" w:hAnsi="Times New Roman" w:cs="Times New Roman"/>
                <w:lang w:val="en-GB"/>
              </w:rPr>
              <w:t xml:space="preserve">Existence of </w:t>
            </w:r>
            <w:r w:rsidR="0095250A">
              <w:rPr>
                <w:rFonts w:ascii="Times New Roman" w:eastAsia="Times New Roman" w:hAnsi="Times New Roman" w:cs="Times New Roman"/>
                <w:lang w:val="en-GB"/>
              </w:rPr>
              <w:t xml:space="preserve">regular national </w:t>
            </w:r>
            <w:r w:rsidRPr="00490D6A">
              <w:rPr>
                <w:rFonts w:ascii="Times New Roman" w:eastAsia="Times New Roman" w:hAnsi="Times New Roman" w:cs="Times New Roman"/>
                <w:lang w:val="en-GB"/>
              </w:rPr>
              <w:t>surveys and administrative</w:t>
            </w:r>
            <w:r w:rsidR="002A6C25">
              <w:rPr>
                <w:rFonts w:ascii="Times New Roman" w:eastAsia="Times New Roman" w:hAnsi="Times New Roman" w:cs="Times New Roman"/>
                <w:lang w:val="en-GB"/>
              </w:rPr>
              <w:t xml:space="preserve"> </w:t>
            </w:r>
            <w:r w:rsidRPr="00490D6A">
              <w:rPr>
                <w:rFonts w:ascii="Times New Roman" w:eastAsia="Times New Roman" w:hAnsi="Times New Roman" w:cs="Times New Roman"/>
                <w:lang w:val="en-GB"/>
              </w:rPr>
              <w:t xml:space="preserve">data collection </w:t>
            </w:r>
            <w:r w:rsidR="005A1E29">
              <w:rPr>
                <w:rFonts w:ascii="Times New Roman" w:eastAsia="Times New Roman" w:hAnsi="Times New Roman" w:cs="Times New Roman"/>
                <w:lang w:val="en-GB"/>
              </w:rPr>
              <w:t>up</w:t>
            </w:r>
            <w:r w:rsidRPr="00490D6A">
              <w:rPr>
                <w:rFonts w:ascii="Times New Roman" w:eastAsia="Times New Roman" w:hAnsi="Times New Roman" w:cs="Times New Roman"/>
                <w:lang w:val="en-GB"/>
              </w:rPr>
              <w:t xml:space="preserve">on completion of studies. </w:t>
            </w:r>
          </w:p>
          <w:p w14:paraId="154ED458" w14:textId="667E1C08" w:rsidR="009C7408" w:rsidRPr="00490D6A" w:rsidRDefault="009C7408" w:rsidP="00B06E31">
            <w:pPr>
              <w:numPr>
                <w:ilvl w:val="0"/>
                <w:numId w:val="25"/>
              </w:numPr>
              <w:jc w:val="both"/>
              <w:rPr>
                <w:rFonts w:ascii="Times New Roman" w:eastAsia="Times New Roman" w:hAnsi="Times New Roman" w:cs="Times New Roman"/>
                <w:lang w:val="en-GB"/>
              </w:rPr>
            </w:pPr>
            <w:r w:rsidRPr="00490D6A">
              <w:rPr>
                <w:rFonts w:ascii="Times New Roman" w:eastAsia="Times New Roman" w:hAnsi="Times New Roman" w:cs="Times New Roman"/>
                <w:lang w:val="en-GB"/>
              </w:rPr>
              <w:t xml:space="preserve">Existence </w:t>
            </w:r>
            <w:r w:rsidR="0095250A" w:rsidRPr="00490D6A">
              <w:rPr>
                <w:rFonts w:ascii="Times New Roman" w:eastAsia="Times New Roman" w:hAnsi="Times New Roman" w:cs="Times New Roman"/>
                <w:lang w:val="en-GB"/>
              </w:rPr>
              <w:t xml:space="preserve">of </w:t>
            </w:r>
            <w:r w:rsidR="0095250A">
              <w:rPr>
                <w:rFonts w:ascii="Times New Roman" w:eastAsia="Times New Roman" w:hAnsi="Times New Roman" w:cs="Times New Roman"/>
                <w:lang w:val="en-GB"/>
              </w:rPr>
              <w:t xml:space="preserve">regular national </w:t>
            </w:r>
            <w:r w:rsidRPr="00490D6A">
              <w:rPr>
                <w:rFonts w:ascii="Times New Roman" w:eastAsia="Times New Roman" w:hAnsi="Times New Roman" w:cs="Times New Roman"/>
                <w:lang w:val="en-GB"/>
              </w:rPr>
              <w:t>surveys or administrative data collection on transition of graduates to the labour market after completion of studies.</w:t>
            </w:r>
          </w:p>
          <w:p w14:paraId="73EC0D5D" w14:textId="067EECA5" w:rsidR="00FA6C26" w:rsidRDefault="00E42D8E" w:rsidP="00B06E31">
            <w:pPr>
              <w:numPr>
                <w:ilvl w:val="0"/>
                <w:numId w:val="25"/>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sidR="00FA6C26" w:rsidRPr="009830A6">
              <w:rPr>
                <w:rFonts w:ascii="Times New Roman" w:eastAsia="Times New Roman" w:hAnsi="Times New Roman" w:cs="Times New Roman"/>
                <w:lang w:val="en-GB"/>
              </w:rPr>
              <w:t xml:space="preserve"> ensures interoperability of the data collection systems and platforms on student characteristics and experiences with other public</w:t>
            </w:r>
            <w:r w:rsidR="00FA6C26">
              <w:rPr>
                <w:rFonts w:ascii="Times New Roman" w:eastAsia="Times New Roman" w:hAnsi="Times New Roman" w:cs="Times New Roman"/>
                <w:lang w:val="en-GB"/>
              </w:rPr>
              <w:t xml:space="preserve"> registers.</w:t>
            </w:r>
          </w:p>
          <w:p w14:paraId="65D6441E" w14:textId="43633384" w:rsidR="009C7408" w:rsidRDefault="00E42D8E" w:rsidP="00B06E31">
            <w:pPr>
              <w:numPr>
                <w:ilvl w:val="0"/>
                <w:numId w:val="25"/>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sidR="009C7408" w:rsidRPr="00490D6A">
              <w:rPr>
                <w:rFonts w:ascii="Times New Roman" w:eastAsia="Times New Roman" w:hAnsi="Times New Roman" w:cs="Times New Roman"/>
                <w:lang w:val="en-GB"/>
              </w:rPr>
              <w:t xml:space="preserve"> </w:t>
            </w:r>
            <w:r w:rsidR="002A6C25">
              <w:rPr>
                <w:rFonts w:ascii="Times New Roman" w:eastAsia="Times New Roman" w:hAnsi="Times New Roman" w:cs="Times New Roman"/>
                <w:lang w:val="en-GB"/>
              </w:rPr>
              <w:t>collects data and consults</w:t>
            </w:r>
            <w:r w:rsidR="009C7408" w:rsidRPr="00490D6A">
              <w:rPr>
                <w:rFonts w:ascii="Times New Roman" w:eastAsia="Times New Roman" w:hAnsi="Times New Roman" w:cs="Times New Roman"/>
                <w:lang w:val="en-GB"/>
              </w:rPr>
              <w:t xml:space="preserve"> </w:t>
            </w:r>
            <w:r>
              <w:rPr>
                <w:rFonts w:ascii="Times New Roman" w:eastAsia="Times New Roman" w:hAnsi="Times New Roman" w:cs="Times New Roman"/>
                <w:lang w:val="en-GB"/>
              </w:rPr>
              <w:t>higher education institutions</w:t>
            </w:r>
            <w:r w:rsidR="009C7408" w:rsidRPr="00490D6A">
              <w:rPr>
                <w:rFonts w:ascii="Times New Roman" w:eastAsia="Times New Roman" w:hAnsi="Times New Roman" w:cs="Times New Roman"/>
                <w:lang w:val="en-GB"/>
              </w:rPr>
              <w:t xml:space="preserve"> </w:t>
            </w:r>
            <w:r w:rsidR="009830A6">
              <w:rPr>
                <w:rFonts w:ascii="Times New Roman" w:eastAsia="Times New Roman" w:hAnsi="Times New Roman" w:cs="Times New Roman"/>
                <w:lang w:val="en-GB"/>
              </w:rPr>
              <w:t xml:space="preserve">and other stakeholders </w:t>
            </w:r>
            <w:r w:rsidR="009C7408" w:rsidRPr="00490D6A">
              <w:rPr>
                <w:rFonts w:ascii="Times New Roman" w:eastAsia="Times New Roman" w:hAnsi="Times New Roman" w:cs="Times New Roman"/>
                <w:lang w:val="en-GB"/>
              </w:rPr>
              <w:t xml:space="preserve">to identify barriers </w:t>
            </w:r>
            <w:r w:rsidR="002A6C25">
              <w:rPr>
                <w:rFonts w:ascii="Times New Roman" w:eastAsia="Times New Roman" w:hAnsi="Times New Roman" w:cs="Times New Roman"/>
                <w:lang w:val="en-GB"/>
              </w:rPr>
              <w:t>and good practices</w:t>
            </w:r>
            <w:r w:rsidR="009C7408" w:rsidRPr="00490D6A">
              <w:rPr>
                <w:rFonts w:ascii="Times New Roman" w:eastAsia="Times New Roman" w:hAnsi="Times New Roman" w:cs="Times New Roman"/>
                <w:lang w:val="en-GB"/>
              </w:rPr>
              <w:t xml:space="preserve"> to support the social dimension enhancement.</w:t>
            </w:r>
          </w:p>
          <w:p w14:paraId="68001B92" w14:textId="77777777" w:rsidR="009C7408" w:rsidRPr="00490D6A" w:rsidRDefault="009C7408" w:rsidP="00322BA9">
            <w:pPr>
              <w:pBdr>
                <w:top w:val="nil"/>
                <w:left w:val="nil"/>
                <w:bottom w:val="nil"/>
                <w:right w:val="nil"/>
                <w:between w:val="nil"/>
              </w:pBdr>
              <w:ind w:left="720"/>
              <w:jc w:val="both"/>
              <w:rPr>
                <w:rFonts w:ascii="Times New Roman" w:eastAsia="Times New Roman" w:hAnsi="Times New Roman" w:cs="Times New Roman"/>
                <w:lang w:val="en-GB"/>
              </w:rPr>
            </w:pPr>
          </w:p>
        </w:tc>
      </w:tr>
      <w:tr w:rsidR="009C7408" w:rsidRPr="00490D6A" w14:paraId="177F4AB0" w14:textId="77777777" w:rsidTr="007273CD">
        <w:tc>
          <w:tcPr>
            <w:tcW w:w="9010" w:type="dxa"/>
          </w:tcPr>
          <w:p w14:paraId="03BEFCA0" w14:textId="771DA824" w:rsidR="009C7408" w:rsidRPr="00490D6A" w:rsidRDefault="009C7408" w:rsidP="007273CD">
            <w:pPr>
              <w:jc w:val="both"/>
              <w:rPr>
                <w:rFonts w:ascii="Times New Roman" w:eastAsia="Times New Roman" w:hAnsi="Times New Roman" w:cs="Times New Roman"/>
                <w:b/>
                <w:bCs/>
                <w:lang w:val="en-GB"/>
              </w:rPr>
            </w:pPr>
            <w:r w:rsidRPr="00490D6A">
              <w:rPr>
                <w:rFonts w:ascii="Times New Roman" w:eastAsia="Times New Roman" w:hAnsi="Times New Roman" w:cs="Times New Roman"/>
                <w:b/>
                <w:bCs/>
                <w:lang w:val="en-GB"/>
              </w:rPr>
              <w:t xml:space="preserve">2. Data collected through national surveys and administrative data collection on </w:t>
            </w:r>
            <w:r w:rsidRPr="00322BA9">
              <w:rPr>
                <w:rFonts w:ascii="Times New Roman" w:eastAsia="Times New Roman" w:hAnsi="Times New Roman" w:cs="Times New Roman"/>
                <w:b/>
                <w:bCs/>
                <w:u w:val="single"/>
                <w:lang w:val="en-GB"/>
              </w:rPr>
              <w:t>student</w:t>
            </w:r>
            <w:r w:rsidR="00322BA9">
              <w:rPr>
                <w:rFonts w:ascii="Times New Roman" w:eastAsia="Times New Roman" w:hAnsi="Times New Roman" w:cs="Times New Roman"/>
                <w:b/>
                <w:bCs/>
                <w:u w:val="single"/>
                <w:lang w:val="en-GB"/>
              </w:rPr>
              <w:t>s</w:t>
            </w:r>
            <w:r w:rsidRPr="00490D6A">
              <w:rPr>
                <w:rFonts w:ascii="Times New Roman" w:eastAsia="Times New Roman" w:hAnsi="Times New Roman" w:cs="Times New Roman"/>
                <w:b/>
                <w:bCs/>
                <w:lang w:val="en-GB"/>
              </w:rPr>
              <w:t xml:space="preserve"> characteristics and experiences are used to enhance policies on social dimension in higher education. </w:t>
            </w:r>
          </w:p>
          <w:p w14:paraId="50EE2B70" w14:textId="4E65FA75" w:rsidR="009C7408" w:rsidRPr="00490D6A" w:rsidRDefault="000B44BA" w:rsidP="00322BA9">
            <w:pPr>
              <w:numPr>
                <w:ilvl w:val="0"/>
                <w:numId w:val="22"/>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sidR="009C7408" w:rsidRPr="00490D6A">
              <w:rPr>
                <w:rFonts w:ascii="Times New Roman" w:eastAsia="Times New Roman" w:hAnsi="Times New Roman" w:cs="Times New Roman"/>
                <w:lang w:val="en-GB"/>
              </w:rPr>
              <w:t xml:space="preserve"> identifies underrepresented, disadvantaged and vulnerable students on a national level. </w:t>
            </w:r>
          </w:p>
          <w:p w14:paraId="7B4DCCCE" w14:textId="77777777" w:rsidR="00322BA9" w:rsidRPr="00FA6C26" w:rsidRDefault="00322BA9" w:rsidP="00322BA9">
            <w:pPr>
              <w:numPr>
                <w:ilvl w:val="0"/>
                <w:numId w:val="22"/>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Pr>
                <w:rFonts w:ascii="Times New Roman" w:eastAsia="Times New Roman" w:hAnsi="Times New Roman" w:cs="Times New Roman"/>
                <w:bCs/>
              </w:rPr>
              <w:t xml:space="preserve"> regularly</w:t>
            </w:r>
            <w:r>
              <w:rPr>
                <w:rFonts w:ascii="Times New Roman" w:eastAsia="Times New Roman" w:hAnsi="Times New Roman" w:cs="Times New Roman"/>
                <w:lang w:val="en-GB"/>
              </w:rPr>
              <w:t xml:space="preserve"> tracks progress towards the implementation of Principles and Guidelines based on the collected data. </w:t>
            </w:r>
          </w:p>
          <w:p w14:paraId="5C05530F" w14:textId="3559A163" w:rsidR="009C7408" w:rsidRPr="00490D6A" w:rsidRDefault="000B44BA" w:rsidP="00322BA9">
            <w:pPr>
              <w:numPr>
                <w:ilvl w:val="0"/>
                <w:numId w:val="22"/>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sidR="009C7408" w:rsidRPr="00490D6A">
              <w:rPr>
                <w:rFonts w:ascii="Times New Roman" w:eastAsia="Times New Roman" w:hAnsi="Times New Roman" w:cs="Times New Roman"/>
                <w:lang w:val="en-GB"/>
              </w:rPr>
              <w:t xml:space="preserve"> translates results of surveys and administrative data collection into student and staff support measures</w:t>
            </w:r>
            <w:r w:rsidR="005A1E29">
              <w:rPr>
                <w:rFonts w:ascii="Times New Roman" w:eastAsia="Times New Roman" w:hAnsi="Times New Roman" w:cs="Times New Roman"/>
                <w:lang w:val="en-GB"/>
              </w:rPr>
              <w:t>, including</w:t>
            </w:r>
            <w:r w:rsidR="009C7408" w:rsidRPr="00490D6A">
              <w:rPr>
                <w:rFonts w:ascii="Times New Roman" w:eastAsia="Times New Roman" w:hAnsi="Times New Roman" w:cs="Times New Roman"/>
                <w:lang w:val="en-GB"/>
              </w:rPr>
              <w:t xml:space="preserve"> counselling and guidance services for identified underrepresented, disadvantaged and vulnerable groups. </w:t>
            </w:r>
          </w:p>
          <w:p w14:paraId="305F5060" w14:textId="77777777" w:rsidR="00322BA9" w:rsidRPr="00B06E31" w:rsidRDefault="00322BA9" w:rsidP="00322BA9">
            <w:pPr>
              <w:numPr>
                <w:ilvl w:val="0"/>
                <w:numId w:val="22"/>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Pr="009C7408">
              <w:rPr>
                <w:rFonts w:ascii="Times New Roman" w:eastAsia="Times New Roman" w:hAnsi="Times New Roman" w:cs="Times New Roman"/>
                <w:bCs/>
              </w:rPr>
              <w:t xml:space="preserve"> </w:t>
            </w:r>
            <w:r>
              <w:rPr>
                <w:rFonts w:ascii="Times New Roman" w:eastAsia="Times New Roman" w:hAnsi="Times New Roman" w:cs="Times New Roman"/>
                <w:bCs/>
              </w:rPr>
              <w:t xml:space="preserve">regularly </w:t>
            </w:r>
            <w:r w:rsidRPr="009C7408">
              <w:rPr>
                <w:rFonts w:ascii="Times New Roman" w:eastAsia="Times New Roman" w:hAnsi="Times New Roman" w:cs="Times New Roman"/>
                <w:bCs/>
              </w:rPr>
              <w:t>tracks student data on drop-out and completion</w:t>
            </w:r>
            <w:r>
              <w:rPr>
                <w:rFonts w:ascii="Times New Roman" w:eastAsia="Times New Roman" w:hAnsi="Times New Roman" w:cs="Times New Roman"/>
                <w:bCs/>
              </w:rPr>
              <w:t xml:space="preserve"> rates in</w:t>
            </w:r>
            <w:r w:rsidRPr="009C7408">
              <w:rPr>
                <w:rFonts w:ascii="Times New Roman" w:eastAsia="Times New Roman" w:hAnsi="Times New Roman" w:cs="Times New Roman"/>
                <w:bCs/>
              </w:rPr>
              <w:t xml:space="preserve"> higher education to detect obstacles for underrepresented, disadvantaged and vulnerable learning groups</w:t>
            </w:r>
            <w:r>
              <w:rPr>
                <w:rFonts w:ascii="Times New Roman" w:eastAsia="Times New Roman" w:hAnsi="Times New Roman" w:cs="Times New Roman"/>
                <w:bCs/>
              </w:rPr>
              <w:t xml:space="preserve"> and analyzes this data in connection with </w:t>
            </w:r>
            <w:r w:rsidRPr="009C7408">
              <w:rPr>
                <w:rFonts w:ascii="Times New Roman" w:eastAsia="Times New Roman" w:hAnsi="Times New Roman" w:cs="Times New Roman"/>
                <w:bCs/>
              </w:rPr>
              <w:t>other policy areas (such as finance, housing, other social services, etc.).</w:t>
            </w:r>
          </w:p>
          <w:p w14:paraId="5E2114A5" w14:textId="5ABFDB78" w:rsidR="009830A6" w:rsidRDefault="000B44BA" w:rsidP="00322BA9">
            <w:pPr>
              <w:numPr>
                <w:ilvl w:val="0"/>
                <w:numId w:val="22"/>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sidR="009C7408" w:rsidRPr="00490D6A">
              <w:rPr>
                <w:rFonts w:ascii="Times New Roman" w:eastAsia="Times New Roman" w:hAnsi="Times New Roman" w:cs="Times New Roman"/>
                <w:lang w:val="en-GB"/>
              </w:rPr>
              <w:t xml:space="preserve"> makes survey or administrative data sets accessible to </w:t>
            </w:r>
            <w:r>
              <w:rPr>
                <w:rFonts w:ascii="Times New Roman" w:eastAsia="Times New Roman" w:hAnsi="Times New Roman" w:cs="Times New Roman"/>
                <w:lang w:val="en-GB"/>
              </w:rPr>
              <w:t>higher education institutions</w:t>
            </w:r>
            <w:r w:rsidR="009C7408" w:rsidRPr="00490D6A">
              <w:rPr>
                <w:rFonts w:ascii="Times New Roman" w:eastAsia="Times New Roman" w:hAnsi="Times New Roman" w:cs="Times New Roman"/>
                <w:lang w:val="en-GB"/>
              </w:rPr>
              <w:t xml:space="preserve"> and researchers in order to build capacity for diversity, equity and inclusion in higher education. </w:t>
            </w:r>
          </w:p>
          <w:p w14:paraId="55742EA6" w14:textId="77777777" w:rsidR="00322BA9" w:rsidRPr="00490D6A" w:rsidRDefault="00322BA9" w:rsidP="00322BA9">
            <w:pPr>
              <w:numPr>
                <w:ilvl w:val="0"/>
                <w:numId w:val="22"/>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sidRPr="00490D6A">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provides support to higher education institutions </w:t>
            </w:r>
            <w:r w:rsidRPr="00490D6A">
              <w:rPr>
                <w:rFonts w:ascii="Times New Roman" w:eastAsia="Times New Roman" w:hAnsi="Times New Roman" w:cs="Times New Roman"/>
                <w:lang w:val="en-GB"/>
              </w:rPr>
              <w:t>to organise surveys</w:t>
            </w:r>
            <w:r>
              <w:rPr>
                <w:rFonts w:ascii="Times New Roman" w:eastAsia="Times New Roman" w:hAnsi="Times New Roman" w:cs="Times New Roman"/>
                <w:lang w:val="en-GB"/>
              </w:rPr>
              <w:t xml:space="preserve"> and research</w:t>
            </w:r>
            <w:r w:rsidRPr="00490D6A">
              <w:rPr>
                <w:rFonts w:ascii="Times New Roman" w:eastAsia="Times New Roman" w:hAnsi="Times New Roman" w:cs="Times New Roman"/>
                <w:lang w:val="en-GB"/>
              </w:rPr>
              <w:t xml:space="preserve"> on the institutional level to understand underrepresentation, disadvantages, and vulnerability in education.</w:t>
            </w:r>
          </w:p>
          <w:p w14:paraId="4A6B7549" w14:textId="77777777" w:rsidR="009C7408" w:rsidRPr="00490D6A" w:rsidRDefault="009C7408" w:rsidP="00322BA9">
            <w:pPr>
              <w:ind w:left="720"/>
              <w:jc w:val="both"/>
              <w:rPr>
                <w:rFonts w:ascii="Times New Roman" w:eastAsia="Times New Roman" w:hAnsi="Times New Roman" w:cs="Times New Roman"/>
                <w:lang w:val="en-GB"/>
              </w:rPr>
            </w:pPr>
          </w:p>
        </w:tc>
      </w:tr>
      <w:tr w:rsidR="009C7408" w:rsidRPr="00490D6A" w14:paraId="0DAEC293" w14:textId="77777777" w:rsidTr="007273CD">
        <w:tc>
          <w:tcPr>
            <w:tcW w:w="9010" w:type="dxa"/>
          </w:tcPr>
          <w:p w14:paraId="0960FB43" w14:textId="437E0917" w:rsidR="009C7408" w:rsidRPr="002A6C25" w:rsidRDefault="00322BA9" w:rsidP="002A6C25">
            <w:pPr>
              <w:jc w:val="both"/>
              <w:rPr>
                <w:rFonts w:ascii="Times New Roman" w:eastAsia="Times New Roman" w:hAnsi="Times New Roman" w:cs="Times New Roman"/>
                <w:b/>
                <w:bCs/>
              </w:rPr>
            </w:pPr>
            <w:r>
              <w:rPr>
                <w:rFonts w:ascii="Times New Roman" w:eastAsia="Times New Roman" w:hAnsi="Times New Roman" w:cs="Times New Roman"/>
                <w:b/>
                <w:bCs/>
              </w:rPr>
              <w:lastRenderedPageBreak/>
              <w:t>3</w:t>
            </w:r>
            <w:r w:rsidR="002A6C25">
              <w:rPr>
                <w:rFonts w:ascii="Times New Roman" w:eastAsia="Times New Roman" w:hAnsi="Times New Roman" w:cs="Times New Roman"/>
                <w:b/>
                <w:bCs/>
              </w:rPr>
              <w:t>.</w:t>
            </w:r>
            <w:r>
              <w:rPr>
                <w:rFonts w:ascii="Times New Roman" w:eastAsia="Times New Roman" w:hAnsi="Times New Roman" w:cs="Times New Roman"/>
                <w:b/>
                <w:bCs/>
              </w:rPr>
              <w:t xml:space="preserve"> </w:t>
            </w:r>
            <w:r w:rsidR="009C7408" w:rsidRPr="002A6C25">
              <w:rPr>
                <w:rFonts w:ascii="Times New Roman" w:eastAsia="Times New Roman" w:hAnsi="Times New Roman" w:cs="Times New Roman"/>
                <w:b/>
                <w:bCs/>
              </w:rPr>
              <w:t>Existence of</w:t>
            </w:r>
            <w:r w:rsidR="002A6C25" w:rsidRPr="002A6C25">
              <w:rPr>
                <w:rFonts w:ascii="Times New Roman" w:eastAsia="Times New Roman" w:hAnsi="Times New Roman" w:cs="Times New Roman"/>
                <w:b/>
                <w:bCs/>
              </w:rPr>
              <w:t xml:space="preserve"> regular</w:t>
            </w:r>
            <w:r w:rsidR="009C7408" w:rsidRPr="002A6C25">
              <w:rPr>
                <w:rFonts w:ascii="Times New Roman" w:eastAsia="Times New Roman" w:hAnsi="Times New Roman" w:cs="Times New Roman"/>
                <w:b/>
                <w:bCs/>
              </w:rPr>
              <w:t xml:space="preserve"> national data collection on </w:t>
            </w:r>
            <w:r w:rsidR="009C7408" w:rsidRPr="00322BA9">
              <w:rPr>
                <w:rFonts w:ascii="Times New Roman" w:eastAsia="Times New Roman" w:hAnsi="Times New Roman" w:cs="Times New Roman"/>
                <w:b/>
                <w:bCs/>
                <w:u w:val="single"/>
              </w:rPr>
              <w:t>staff</w:t>
            </w:r>
            <w:r w:rsidR="009C7408" w:rsidRPr="002A6C25">
              <w:rPr>
                <w:rFonts w:ascii="Times New Roman" w:eastAsia="Times New Roman" w:hAnsi="Times New Roman" w:cs="Times New Roman"/>
                <w:b/>
                <w:bCs/>
              </w:rPr>
              <w:t xml:space="preserve"> characteristics and experiences in higher education. </w:t>
            </w:r>
          </w:p>
          <w:p w14:paraId="7F9BACAA" w14:textId="3EFC7B94" w:rsidR="002A6C25" w:rsidRPr="002A6C25" w:rsidRDefault="002A6C25" w:rsidP="002A6C25">
            <w:pPr>
              <w:pStyle w:val="ListParagraph"/>
              <w:numPr>
                <w:ilvl w:val="0"/>
                <w:numId w:val="41"/>
              </w:numPr>
              <w:jc w:val="both"/>
              <w:rPr>
                <w:rFonts w:ascii="Times New Roman" w:eastAsia="Times New Roman" w:hAnsi="Times New Roman" w:cs="Times New Roman"/>
                <w:sz w:val="22"/>
                <w:szCs w:val="22"/>
              </w:rPr>
            </w:pPr>
            <w:r w:rsidRPr="002A6C25">
              <w:rPr>
                <w:rFonts w:ascii="Times New Roman" w:eastAsia="Times New Roman" w:hAnsi="Times New Roman" w:cs="Times New Roman"/>
                <w:sz w:val="22"/>
                <w:szCs w:val="22"/>
              </w:rPr>
              <w:t xml:space="preserve">Existence of </w:t>
            </w:r>
            <w:r w:rsidR="00322BA9" w:rsidRPr="002A6C25">
              <w:rPr>
                <w:rFonts w:ascii="Times New Roman" w:eastAsia="Times New Roman" w:hAnsi="Times New Roman" w:cs="Times New Roman"/>
                <w:sz w:val="22"/>
                <w:szCs w:val="22"/>
              </w:rPr>
              <w:t xml:space="preserve">regular national </w:t>
            </w:r>
            <w:r w:rsidRPr="002A6C25">
              <w:rPr>
                <w:rFonts w:ascii="Times New Roman" w:eastAsia="Times New Roman" w:hAnsi="Times New Roman" w:cs="Times New Roman"/>
                <w:sz w:val="22"/>
                <w:szCs w:val="22"/>
              </w:rPr>
              <w:t>surveys or administrative data collection</w:t>
            </w:r>
            <w:r>
              <w:rPr>
                <w:rFonts w:ascii="Times New Roman" w:eastAsia="Times New Roman" w:hAnsi="Times New Roman" w:cs="Times New Roman"/>
                <w:sz w:val="22"/>
                <w:szCs w:val="22"/>
              </w:rPr>
              <w:t xml:space="preserve"> on staff characteristics and experiences, in order to enhance the social dimension policies</w:t>
            </w:r>
            <w:r w:rsidR="00322BA9">
              <w:rPr>
                <w:rFonts w:ascii="Times New Roman" w:eastAsia="Times New Roman" w:hAnsi="Times New Roman" w:cs="Times New Roman"/>
                <w:sz w:val="22"/>
                <w:szCs w:val="22"/>
              </w:rPr>
              <w:t xml:space="preserve"> in higher education</w:t>
            </w:r>
            <w:r>
              <w:rPr>
                <w:rFonts w:ascii="Times New Roman" w:eastAsia="Times New Roman" w:hAnsi="Times New Roman" w:cs="Times New Roman"/>
                <w:sz w:val="22"/>
                <w:szCs w:val="22"/>
              </w:rPr>
              <w:t>.</w:t>
            </w:r>
          </w:p>
          <w:p w14:paraId="6893EB17" w14:textId="77777777" w:rsidR="009C7408" w:rsidRPr="00490D6A" w:rsidRDefault="009C7408" w:rsidP="007273CD">
            <w:pPr>
              <w:ind w:right="-12"/>
              <w:jc w:val="both"/>
              <w:rPr>
                <w:rFonts w:ascii="Times New Roman" w:eastAsia="Times New Roman" w:hAnsi="Times New Roman" w:cs="Times New Roman"/>
                <w:lang w:val="en-GB"/>
              </w:rPr>
            </w:pPr>
          </w:p>
        </w:tc>
      </w:tr>
      <w:tr w:rsidR="00915949" w:rsidRPr="00490D6A" w14:paraId="406FE142" w14:textId="77777777" w:rsidTr="007273CD">
        <w:tc>
          <w:tcPr>
            <w:tcW w:w="9010" w:type="dxa"/>
          </w:tcPr>
          <w:p w14:paraId="32D11FD4" w14:textId="4F3FD7C9" w:rsidR="00915949" w:rsidRDefault="00915949" w:rsidP="007273CD">
            <w:pPr>
              <w:jc w:val="both"/>
              <w:rPr>
                <w:rFonts w:ascii="Times New Roman" w:eastAsia="Times New Roman" w:hAnsi="Times New Roman" w:cs="Times New Roman"/>
                <w:b/>
                <w:bCs/>
                <w:lang w:val="en-GB"/>
              </w:rPr>
            </w:pPr>
            <w:r>
              <w:rPr>
                <w:rFonts w:ascii="Times New Roman" w:eastAsia="Times New Roman" w:hAnsi="Times New Roman" w:cs="Times New Roman"/>
                <w:b/>
                <w:bCs/>
                <w:lang w:val="en-GB"/>
              </w:rPr>
              <w:t xml:space="preserve">4. </w:t>
            </w:r>
            <w:r w:rsidR="007503B8" w:rsidRPr="00490D6A">
              <w:rPr>
                <w:rFonts w:ascii="Times New Roman" w:eastAsia="Times New Roman" w:hAnsi="Times New Roman" w:cs="Times New Roman"/>
                <w:b/>
                <w:bCs/>
                <w:lang w:val="en-GB"/>
              </w:rPr>
              <w:t>Existence</w:t>
            </w:r>
            <w:r w:rsidR="002A6C25">
              <w:rPr>
                <w:rFonts w:ascii="Times New Roman" w:eastAsia="Times New Roman" w:hAnsi="Times New Roman" w:cs="Times New Roman"/>
                <w:b/>
                <w:bCs/>
                <w:lang w:val="en-GB"/>
              </w:rPr>
              <w:t xml:space="preserve"> </w:t>
            </w:r>
            <w:r w:rsidR="007503B8" w:rsidRPr="00490D6A">
              <w:rPr>
                <w:rFonts w:ascii="Times New Roman" w:eastAsia="Times New Roman" w:hAnsi="Times New Roman" w:cs="Times New Roman"/>
                <w:b/>
                <w:bCs/>
                <w:lang w:val="en-GB"/>
              </w:rPr>
              <w:t>of</w:t>
            </w:r>
            <w:r w:rsidR="007503B8">
              <w:rPr>
                <w:rFonts w:ascii="Times New Roman" w:eastAsia="Times New Roman" w:hAnsi="Times New Roman" w:cs="Times New Roman"/>
                <w:b/>
                <w:bCs/>
                <w:lang w:val="en-GB"/>
              </w:rPr>
              <w:t xml:space="preserve"> </w:t>
            </w:r>
            <w:r w:rsidR="002A6C25">
              <w:rPr>
                <w:rFonts w:ascii="Times New Roman" w:eastAsia="Times New Roman" w:hAnsi="Times New Roman" w:cs="Times New Roman"/>
                <w:b/>
                <w:bCs/>
                <w:lang w:val="en-GB"/>
              </w:rPr>
              <w:t xml:space="preserve">regular </w:t>
            </w:r>
            <w:r w:rsidR="007503B8">
              <w:rPr>
                <w:rFonts w:ascii="Times New Roman" w:eastAsia="Times New Roman" w:hAnsi="Times New Roman" w:cs="Times New Roman"/>
                <w:b/>
                <w:bCs/>
                <w:lang w:val="en-GB"/>
              </w:rPr>
              <w:t xml:space="preserve">surveys on potential systemic barriers to diversity, equity and inclusion </w:t>
            </w:r>
            <w:r w:rsidR="007503B8" w:rsidRPr="007503B8">
              <w:rPr>
                <w:rFonts w:ascii="Times New Roman" w:eastAsia="Times New Roman" w:hAnsi="Times New Roman" w:cs="Times New Roman"/>
                <w:b/>
                <w:bCs/>
                <w:lang w:val="en-GB"/>
              </w:rPr>
              <w:t>from early childhood education, through schooling to higher education and throughout lifelong learning.</w:t>
            </w:r>
          </w:p>
          <w:p w14:paraId="5B9B16E8" w14:textId="172C663F" w:rsidR="003B6C50" w:rsidRPr="009C7408" w:rsidRDefault="00B41893" w:rsidP="003B6C50">
            <w:pPr>
              <w:numPr>
                <w:ilvl w:val="0"/>
                <w:numId w:val="17"/>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3B6C50" w:rsidRPr="009C7408">
              <w:rPr>
                <w:rFonts w:ascii="Times New Roman" w:eastAsia="Times New Roman" w:hAnsi="Times New Roman" w:cs="Times New Roman"/>
                <w:bCs/>
              </w:rPr>
              <w:t xml:space="preserve"> tracks student data through all three levels of education, lifelong learning and entry into the labor market to make sure that its social dimension policies are effective and efficient.</w:t>
            </w:r>
          </w:p>
          <w:p w14:paraId="67CABB97" w14:textId="7E0BCB08" w:rsidR="003B6C50" w:rsidRPr="009C7408" w:rsidRDefault="00B41893" w:rsidP="003B6C50">
            <w:pPr>
              <w:numPr>
                <w:ilvl w:val="0"/>
                <w:numId w:val="17"/>
              </w:numPr>
              <w:pBdr>
                <w:top w:val="nil"/>
                <w:left w:val="nil"/>
                <w:bottom w:val="nil"/>
                <w:right w:val="nil"/>
                <w:between w:val="nil"/>
              </w:pBd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3B6C50" w:rsidRPr="009C7408">
              <w:rPr>
                <w:rFonts w:ascii="Times New Roman" w:eastAsia="Times New Roman" w:hAnsi="Times New Roman" w:cs="Times New Roman"/>
                <w:bCs/>
              </w:rPr>
              <w:t xml:space="preserve"> compares graduation data from second level (secondary education) with entrance data of the third level (</w:t>
            </w:r>
            <w:r>
              <w:rPr>
                <w:rFonts w:ascii="Times New Roman" w:eastAsia="Times New Roman" w:hAnsi="Times New Roman" w:cs="Times New Roman"/>
                <w:bCs/>
              </w:rPr>
              <w:t>higher education</w:t>
            </w:r>
            <w:r w:rsidR="003B6C50" w:rsidRPr="009C7408">
              <w:rPr>
                <w:rFonts w:ascii="Times New Roman" w:eastAsia="Times New Roman" w:hAnsi="Times New Roman" w:cs="Times New Roman"/>
                <w:bCs/>
              </w:rPr>
              <w:t>) in order to improve transition from second into the third level of education.</w:t>
            </w:r>
          </w:p>
          <w:p w14:paraId="5F32F1B7" w14:textId="25EA9133" w:rsidR="007503B8" w:rsidRPr="00490D6A" w:rsidRDefault="007503B8" w:rsidP="007273CD">
            <w:pPr>
              <w:jc w:val="both"/>
              <w:rPr>
                <w:rFonts w:ascii="Times New Roman" w:eastAsia="Times New Roman" w:hAnsi="Times New Roman" w:cs="Times New Roman"/>
                <w:b/>
                <w:bCs/>
                <w:lang w:val="en-GB"/>
              </w:rPr>
            </w:pPr>
          </w:p>
        </w:tc>
      </w:tr>
      <w:tr w:rsidR="009C7408" w:rsidRPr="00490D6A" w14:paraId="1866B51B" w14:textId="77777777" w:rsidTr="007273CD">
        <w:tc>
          <w:tcPr>
            <w:tcW w:w="9010" w:type="dxa"/>
          </w:tcPr>
          <w:p w14:paraId="046B467D" w14:textId="6393D620" w:rsidR="009C7408" w:rsidRPr="00490D6A" w:rsidRDefault="007503B8" w:rsidP="007273CD">
            <w:pPr>
              <w:jc w:val="both"/>
              <w:rPr>
                <w:rFonts w:ascii="Times New Roman" w:eastAsia="Times New Roman" w:hAnsi="Times New Roman" w:cs="Times New Roman"/>
                <w:b/>
                <w:bCs/>
                <w:lang w:val="en-GB"/>
              </w:rPr>
            </w:pPr>
            <w:r>
              <w:rPr>
                <w:rFonts w:ascii="Times New Roman" w:eastAsia="Times New Roman" w:hAnsi="Times New Roman" w:cs="Times New Roman"/>
                <w:b/>
                <w:bCs/>
                <w:lang w:val="en-GB"/>
              </w:rPr>
              <w:t>5</w:t>
            </w:r>
            <w:r w:rsidR="009C7408" w:rsidRPr="00490D6A">
              <w:rPr>
                <w:rFonts w:ascii="Times New Roman" w:eastAsia="Times New Roman" w:hAnsi="Times New Roman" w:cs="Times New Roman"/>
                <w:b/>
                <w:bCs/>
                <w:lang w:val="en-GB"/>
              </w:rPr>
              <w:t xml:space="preserve">. </w:t>
            </w:r>
            <w:r w:rsidR="00B92D13">
              <w:rPr>
                <w:rFonts w:ascii="Times New Roman" w:eastAsia="Times New Roman" w:hAnsi="Times New Roman" w:cs="Times New Roman"/>
                <w:b/>
                <w:bCs/>
                <w:lang w:val="en-GB"/>
              </w:rPr>
              <w:t>Public authority participates</w:t>
            </w:r>
            <w:r w:rsidR="009C7408" w:rsidRPr="00490D6A">
              <w:rPr>
                <w:rFonts w:ascii="Times New Roman" w:eastAsia="Times New Roman" w:hAnsi="Times New Roman" w:cs="Times New Roman"/>
                <w:b/>
                <w:bCs/>
                <w:lang w:val="en-GB"/>
              </w:rPr>
              <w:t xml:space="preserve"> in internationally comparable data collections</w:t>
            </w:r>
            <w:r w:rsidR="00B92D13">
              <w:rPr>
                <w:rFonts w:ascii="Times New Roman" w:eastAsia="Times New Roman" w:hAnsi="Times New Roman" w:cs="Times New Roman"/>
                <w:b/>
                <w:bCs/>
                <w:lang w:val="en-GB"/>
              </w:rPr>
              <w:t xml:space="preserve"> in higher education</w:t>
            </w:r>
            <w:r w:rsidR="009C7408" w:rsidRPr="00490D6A">
              <w:rPr>
                <w:rFonts w:ascii="Times New Roman" w:eastAsia="Times New Roman" w:hAnsi="Times New Roman" w:cs="Times New Roman"/>
                <w:b/>
                <w:bCs/>
                <w:lang w:val="en-GB"/>
              </w:rPr>
              <w:t>.</w:t>
            </w:r>
          </w:p>
          <w:p w14:paraId="04E792DD" w14:textId="3FC1D590" w:rsidR="004D01FB" w:rsidRDefault="004D01FB">
            <w:pPr>
              <w:numPr>
                <w:ilvl w:val="0"/>
                <w:numId w:val="23"/>
              </w:numPr>
              <w:pBdr>
                <w:top w:val="nil"/>
                <w:left w:val="nil"/>
                <w:bottom w:val="nil"/>
                <w:right w:val="nil"/>
                <w:between w:val="nil"/>
              </w:pBd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w:t>
            </w:r>
            <w:r w:rsidRPr="00AD2701">
              <w:rPr>
                <w:rFonts w:ascii="Times New Roman" w:eastAsia="Times New Roman" w:hAnsi="Times New Roman" w:cs="Times New Roman"/>
                <w:color w:val="000000"/>
                <w:lang w:val="en-GB"/>
              </w:rPr>
              <w:t>nternationally comparable taxonomies</w:t>
            </w:r>
            <w:r>
              <w:rPr>
                <w:rFonts w:ascii="Times New Roman" w:eastAsia="Times New Roman" w:hAnsi="Times New Roman" w:cs="Times New Roman"/>
                <w:color w:val="000000"/>
                <w:lang w:val="en-GB"/>
              </w:rPr>
              <w:t xml:space="preserve"> are used</w:t>
            </w:r>
            <w:r w:rsidRPr="00AD2701">
              <w:rPr>
                <w:rFonts w:ascii="Times New Roman" w:eastAsia="Times New Roman" w:hAnsi="Times New Roman" w:cs="Times New Roman"/>
                <w:color w:val="000000"/>
                <w:lang w:val="en-GB"/>
              </w:rPr>
              <w:t xml:space="preserve"> for </w:t>
            </w:r>
            <w:r>
              <w:rPr>
                <w:rFonts w:ascii="Times New Roman" w:eastAsia="Times New Roman" w:hAnsi="Times New Roman" w:cs="Times New Roman"/>
                <w:color w:val="000000"/>
                <w:lang w:val="en-GB"/>
              </w:rPr>
              <w:t xml:space="preserve">internationally comparable </w:t>
            </w:r>
            <w:r w:rsidRPr="00AD2701">
              <w:rPr>
                <w:rFonts w:ascii="Times New Roman" w:eastAsia="Times New Roman" w:hAnsi="Times New Roman" w:cs="Times New Roman"/>
                <w:color w:val="000000"/>
                <w:lang w:val="en-GB"/>
              </w:rPr>
              <w:t>data collection (e.g., ISCED, EQF for levels of study, the EHEA definitions of underrepresented, disadvantaged and vulnerable groups</w:t>
            </w:r>
            <w:r>
              <w:rPr>
                <w:rFonts w:ascii="Times New Roman" w:eastAsia="Times New Roman" w:hAnsi="Times New Roman" w:cs="Times New Roman"/>
                <w:color w:val="000000"/>
                <w:lang w:val="en-GB"/>
              </w:rPr>
              <w:t>,</w:t>
            </w:r>
            <w:r w:rsidRPr="00AD2701">
              <w:rPr>
                <w:rFonts w:ascii="Times New Roman" w:eastAsia="Times New Roman" w:hAnsi="Times New Roman" w:cs="Times New Roman"/>
                <w:color w:val="000000"/>
                <w:lang w:val="en-GB"/>
              </w:rPr>
              <w:t xml:space="preserve"> etc.)</w:t>
            </w:r>
            <w:r>
              <w:rPr>
                <w:rFonts w:ascii="Times New Roman" w:eastAsia="Times New Roman" w:hAnsi="Times New Roman" w:cs="Times New Roman"/>
                <w:color w:val="000000"/>
                <w:lang w:val="en-GB"/>
              </w:rPr>
              <w:t>.</w:t>
            </w:r>
          </w:p>
          <w:p w14:paraId="227BEF05" w14:textId="36F91159" w:rsidR="009C7408" w:rsidRPr="00490D6A" w:rsidRDefault="009C7408">
            <w:pPr>
              <w:numPr>
                <w:ilvl w:val="0"/>
                <w:numId w:val="23"/>
              </w:numPr>
              <w:pBdr>
                <w:top w:val="nil"/>
                <w:left w:val="nil"/>
                <w:bottom w:val="nil"/>
                <w:right w:val="nil"/>
                <w:between w:val="nil"/>
              </w:pBdr>
              <w:jc w:val="both"/>
              <w:rPr>
                <w:rFonts w:ascii="Times New Roman" w:eastAsia="Times New Roman" w:hAnsi="Times New Roman" w:cs="Times New Roman"/>
                <w:color w:val="000000"/>
                <w:lang w:val="en-GB"/>
              </w:rPr>
            </w:pPr>
            <w:r w:rsidRPr="00490D6A">
              <w:rPr>
                <w:rFonts w:ascii="Times New Roman" w:eastAsia="Times New Roman" w:hAnsi="Times New Roman" w:cs="Times New Roman"/>
                <w:color w:val="000000"/>
                <w:lang w:val="en-GB"/>
              </w:rPr>
              <w:t xml:space="preserve">Participation in </w:t>
            </w:r>
            <w:r w:rsidR="002A6C25">
              <w:rPr>
                <w:rFonts w:ascii="Times New Roman" w:eastAsia="Times New Roman" w:hAnsi="Times New Roman" w:cs="Times New Roman"/>
                <w:color w:val="000000"/>
                <w:lang w:val="en-GB"/>
              </w:rPr>
              <w:t>European</w:t>
            </w:r>
            <w:r w:rsidR="004D01FB">
              <w:rPr>
                <w:rFonts w:ascii="Times New Roman" w:eastAsia="Times New Roman" w:hAnsi="Times New Roman" w:cs="Times New Roman"/>
                <w:color w:val="000000"/>
                <w:lang w:val="en-GB"/>
              </w:rPr>
              <w:t xml:space="preserve"> Higher Education Area</w:t>
            </w:r>
            <w:r w:rsidR="002A6C25">
              <w:rPr>
                <w:rFonts w:ascii="Times New Roman" w:eastAsia="Times New Roman" w:hAnsi="Times New Roman" w:cs="Times New Roman"/>
                <w:color w:val="000000"/>
                <w:lang w:val="en-GB"/>
              </w:rPr>
              <w:t xml:space="preserve"> </w:t>
            </w:r>
            <w:r w:rsidR="004D01FB">
              <w:rPr>
                <w:rFonts w:ascii="Times New Roman" w:eastAsia="Times New Roman" w:hAnsi="Times New Roman" w:cs="Times New Roman"/>
                <w:color w:val="000000"/>
                <w:lang w:val="en-GB"/>
              </w:rPr>
              <w:t xml:space="preserve">surveys on </w:t>
            </w:r>
            <w:r w:rsidR="002A6C25">
              <w:rPr>
                <w:rFonts w:ascii="Times New Roman" w:eastAsia="Times New Roman" w:hAnsi="Times New Roman" w:cs="Times New Roman"/>
                <w:color w:val="000000"/>
                <w:lang w:val="en-GB"/>
              </w:rPr>
              <w:t>student</w:t>
            </w:r>
            <w:r w:rsidR="004D01FB">
              <w:rPr>
                <w:rFonts w:ascii="Times New Roman" w:eastAsia="Times New Roman" w:hAnsi="Times New Roman" w:cs="Times New Roman"/>
                <w:color w:val="000000"/>
                <w:lang w:val="en-GB"/>
              </w:rPr>
              <w:t xml:space="preserve"> characteristics (e.g. Eurostudent survey)</w:t>
            </w:r>
            <w:r w:rsidR="002A6C25">
              <w:rPr>
                <w:rFonts w:ascii="Times New Roman" w:eastAsia="Times New Roman" w:hAnsi="Times New Roman" w:cs="Times New Roman"/>
                <w:color w:val="000000"/>
                <w:lang w:val="en-GB"/>
              </w:rPr>
              <w:t xml:space="preserve"> and </w:t>
            </w:r>
            <w:r w:rsidR="004D01FB">
              <w:rPr>
                <w:rFonts w:ascii="Times New Roman" w:eastAsia="Times New Roman" w:hAnsi="Times New Roman" w:cs="Times New Roman"/>
                <w:color w:val="000000"/>
                <w:lang w:val="en-GB"/>
              </w:rPr>
              <w:t xml:space="preserve">in </w:t>
            </w:r>
            <w:r w:rsidR="002A6C25">
              <w:rPr>
                <w:rFonts w:ascii="Times New Roman" w:eastAsia="Times New Roman" w:hAnsi="Times New Roman" w:cs="Times New Roman"/>
                <w:color w:val="000000"/>
                <w:lang w:val="en-GB"/>
              </w:rPr>
              <w:t>graduate surveys</w:t>
            </w:r>
            <w:r w:rsidR="004D01FB">
              <w:rPr>
                <w:rFonts w:ascii="Times New Roman" w:eastAsia="Times New Roman" w:hAnsi="Times New Roman" w:cs="Times New Roman"/>
                <w:color w:val="000000"/>
                <w:lang w:val="en-GB"/>
              </w:rPr>
              <w:t xml:space="preserve"> (e.g. Eurograduate survey)</w:t>
            </w:r>
            <w:r w:rsidRPr="00AD2701">
              <w:rPr>
                <w:rFonts w:ascii="Times New Roman" w:eastAsia="Times New Roman" w:hAnsi="Times New Roman" w:cs="Times New Roman"/>
                <w:color w:val="000000"/>
                <w:lang w:val="en-GB"/>
              </w:rPr>
              <w:t>.</w:t>
            </w:r>
          </w:p>
          <w:p w14:paraId="5615ABA5" w14:textId="7804E5C9" w:rsidR="009C7408" w:rsidRPr="002A6C25" w:rsidRDefault="009C7408" w:rsidP="004D01FB">
            <w:pPr>
              <w:pBdr>
                <w:top w:val="nil"/>
                <w:left w:val="nil"/>
                <w:bottom w:val="nil"/>
                <w:right w:val="nil"/>
                <w:between w:val="nil"/>
              </w:pBdr>
              <w:ind w:left="720"/>
              <w:jc w:val="both"/>
              <w:rPr>
                <w:rFonts w:ascii="Times New Roman" w:eastAsia="Times New Roman" w:hAnsi="Times New Roman" w:cs="Times New Roman"/>
                <w:color w:val="000000"/>
                <w:lang w:val="en-GB"/>
              </w:rPr>
            </w:pPr>
          </w:p>
        </w:tc>
      </w:tr>
    </w:tbl>
    <w:p w14:paraId="006104B5" w14:textId="77777777" w:rsidR="00152FC0" w:rsidRDefault="00152FC0">
      <w:pPr>
        <w:jc w:val="both"/>
        <w:rPr>
          <w:rFonts w:ascii="Times New Roman" w:eastAsia="Times New Roman" w:hAnsi="Times New Roman" w:cs="Times New Roman"/>
          <w:b/>
          <w:sz w:val="24"/>
          <w:szCs w:val="24"/>
        </w:rPr>
      </w:pPr>
    </w:p>
    <w:p w14:paraId="24FE5638" w14:textId="77777777" w:rsidR="00152FC0" w:rsidRDefault="00152FC0">
      <w:pPr>
        <w:jc w:val="both"/>
        <w:rPr>
          <w:rFonts w:ascii="Times New Roman" w:eastAsia="Times New Roman" w:hAnsi="Times New Roman" w:cs="Times New Roman"/>
          <w:b/>
          <w:sz w:val="24"/>
          <w:szCs w:val="24"/>
        </w:rPr>
      </w:pPr>
    </w:p>
    <w:p w14:paraId="4C3E5A3E" w14:textId="77777777" w:rsidR="00152FC0" w:rsidRPr="00733163" w:rsidRDefault="0080179B" w:rsidP="00D6013A">
      <w:pPr>
        <w:pBdr>
          <w:top w:val="single" w:sz="4" w:space="1" w:color="000000"/>
          <w:left w:val="single" w:sz="4" w:space="1" w:color="000000"/>
          <w:bottom w:val="single" w:sz="4" w:space="1" w:color="000000"/>
          <w:right w:val="single" w:sz="4" w:space="1" w:color="000000"/>
          <w:between w:val="single" w:sz="4" w:space="1" w:color="000000"/>
        </w:pBdr>
        <w:shd w:val="clear" w:color="auto" w:fill="5B9BD5" w:themeFill="accent5"/>
        <w:jc w:val="both"/>
        <w:rPr>
          <w:rFonts w:ascii="Times New Roman" w:eastAsia="Times New Roman" w:hAnsi="Times New Roman" w:cs="Times New Roman"/>
          <w:b/>
          <w:sz w:val="24"/>
          <w:szCs w:val="24"/>
        </w:rPr>
      </w:pPr>
      <w:r w:rsidRPr="00733163">
        <w:rPr>
          <w:rFonts w:ascii="Times New Roman" w:eastAsia="Times New Roman" w:hAnsi="Times New Roman" w:cs="Times New Roman"/>
          <w:b/>
          <w:sz w:val="24"/>
          <w:szCs w:val="24"/>
        </w:rPr>
        <w:t xml:space="preserve">5. Public authorities should have policies that enable higher education institutions to ensure effective counselling and guidance for potential and enrolled students in order to widen their access to, participation in and completion of higher education studies. These services should be coherent across the entire education system, with special regard to transitions between different educational levels, educational institutions and into the labour market. </w:t>
      </w:r>
    </w:p>
    <w:p w14:paraId="0F18D1B8" w14:textId="77777777" w:rsidR="00152FC0" w:rsidRPr="00A47E07" w:rsidRDefault="00152FC0">
      <w:pPr>
        <w:jc w:val="both"/>
        <w:rPr>
          <w:rFonts w:ascii="Times New Roman" w:eastAsia="Times New Roman" w:hAnsi="Times New Roman" w:cs="Times New Roman"/>
          <w:b/>
        </w:rPr>
      </w:pPr>
    </w:p>
    <w:p w14:paraId="4632477A" w14:textId="77777777" w:rsidR="00152FC0" w:rsidRPr="00A47E07" w:rsidRDefault="0080179B">
      <w:pPr>
        <w:ind w:left="720"/>
        <w:jc w:val="both"/>
        <w:rPr>
          <w:rFonts w:ascii="Times New Roman" w:eastAsia="Times New Roman" w:hAnsi="Times New Roman" w:cs="Times New Roman"/>
          <w:b/>
        </w:rPr>
      </w:pPr>
      <w:r w:rsidRPr="00A47E07">
        <w:rPr>
          <w:rFonts w:ascii="Times New Roman" w:eastAsia="Times New Roman" w:hAnsi="Times New Roman" w:cs="Times New Roman"/>
          <w:b/>
        </w:rPr>
        <w:t>Guidelines:</w:t>
      </w:r>
    </w:p>
    <w:p w14:paraId="11ECDFAD" w14:textId="77777777" w:rsidR="00152FC0" w:rsidRPr="00733163" w:rsidRDefault="0080179B">
      <w:pPr>
        <w:numPr>
          <w:ilvl w:val="1"/>
          <w:numId w:val="18"/>
        </w:numPr>
        <w:jc w:val="both"/>
        <w:rPr>
          <w:rFonts w:ascii="Times New Roman" w:eastAsia="Times New Roman" w:hAnsi="Times New Roman" w:cs="Times New Roman"/>
        </w:rPr>
      </w:pPr>
      <w:r w:rsidRPr="00733163">
        <w:rPr>
          <w:rFonts w:ascii="Times New Roman" w:eastAsia="Times New Roman" w:hAnsi="Times New Roman" w:cs="Times New Roman"/>
        </w:rPr>
        <w:t xml:space="preserve">Public authorities should create conditions that enable collaboration between different public institutions that provide counselling and guidance services together with higher education institutions in order to create synergies and omit duplication of similar services. These services should uphold the principles of clarity and user-friendliness, because end users must be capable to understand them easily.  </w:t>
      </w:r>
    </w:p>
    <w:p w14:paraId="474DA6D8" w14:textId="77777777" w:rsidR="00152FC0" w:rsidRPr="00733163" w:rsidRDefault="0080179B">
      <w:pPr>
        <w:numPr>
          <w:ilvl w:val="1"/>
          <w:numId w:val="18"/>
        </w:numPr>
        <w:jc w:val="both"/>
        <w:rPr>
          <w:rFonts w:ascii="Times New Roman" w:eastAsia="Times New Roman" w:hAnsi="Times New Roman" w:cs="Times New Roman"/>
        </w:rPr>
      </w:pPr>
      <w:r w:rsidRPr="00733163">
        <w:rPr>
          <w:rFonts w:ascii="Times New Roman" w:eastAsia="Times New Roman" w:hAnsi="Times New Roman" w:cs="Times New Roman"/>
        </w:rPr>
        <w:t>Within a diverse student body, special attention should be directed towards students with physical and psychological health challenges. These students should have access to professional support to secure their success in accessing and completing higher education studies.  Special focus should be placed on prevention of psychological challenges caused by the organisation of study and students’ living conditions.</w:t>
      </w:r>
    </w:p>
    <w:p w14:paraId="7EB5FDBF" w14:textId="3D7E31DB" w:rsidR="00152FC0" w:rsidRPr="00733163" w:rsidRDefault="0080179B">
      <w:pPr>
        <w:numPr>
          <w:ilvl w:val="1"/>
          <w:numId w:val="18"/>
        </w:numPr>
        <w:jc w:val="both"/>
        <w:rPr>
          <w:rFonts w:ascii="Times New Roman" w:eastAsia="Times New Roman" w:hAnsi="Times New Roman" w:cs="Times New Roman"/>
        </w:rPr>
      </w:pPr>
      <w:r w:rsidRPr="00733163">
        <w:rPr>
          <w:rFonts w:ascii="Times New Roman" w:eastAsia="Times New Roman" w:hAnsi="Times New Roman" w:cs="Times New Roman"/>
        </w:rPr>
        <w:t xml:space="preserve">Public authorities should also consider setting up ombudsperson-type institutions that will have the capacity and knowledge to mediate any conflicts, particularly related to equity issues that may arise during accessing or participating in higher education, or conflicts that hinder the completion of studies. </w:t>
      </w:r>
    </w:p>
    <w:p w14:paraId="6CACC71E" w14:textId="7AC8CFCF" w:rsidR="00152FC0" w:rsidRDefault="00152FC0">
      <w:pPr>
        <w:jc w:val="both"/>
        <w:rPr>
          <w:rFonts w:ascii="Times New Roman" w:eastAsia="Times New Roman" w:hAnsi="Times New Roman" w:cs="Times New Roman"/>
          <w:b/>
          <w:sz w:val="24"/>
          <w:szCs w:val="24"/>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594E8B" w:rsidRPr="00490D6A" w14:paraId="7195F5E8" w14:textId="77777777" w:rsidTr="007273CD">
        <w:tc>
          <w:tcPr>
            <w:tcW w:w="9010" w:type="dxa"/>
            <w:shd w:val="clear" w:color="auto" w:fill="auto"/>
          </w:tcPr>
          <w:p w14:paraId="27928682" w14:textId="77777777" w:rsidR="00594E8B" w:rsidRDefault="00594E8B" w:rsidP="007273CD">
            <w:pPr>
              <w:jc w:val="both"/>
              <w:rPr>
                <w:rFonts w:ascii="Times New Roman" w:eastAsia="Times New Roman" w:hAnsi="Times New Roman" w:cs="Times New Roman"/>
                <w:b/>
                <w:bCs/>
                <w:lang w:val="en-GB"/>
              </w:rPr>
            </w:pPr>
            <w:r w:rsidRPr="00490D6A">
              <w:rPr>
                <w:rFonts w:ascii="Times New Roman" w:eastAsia="Times New Roman" w:hAnsi="Times New Roman" w:cs="Times New Roman"/>
                <w:b/>
                <w:bCs/>
                <w:lang w:val="en-GB"/>
              </w:rPr>
              <w:t>Indicators</w:t>
            </w:r>
          </w:p>
          <w:p w14:paraId="11A13C60" w14:textId="75325923" w:rsidR="00594E8B" w:rsidRPr="00490D6A" w:rsidRDefault="00594E8B" w:rsidP="007273CD">
            <w:pPr>
              <w:jc w:val="both"/>
              <w:rPr>
                <w:rFonts w:ascii="Times New Roman" w:eastAsia="Times New Roman" w:hAnsi="Times New Roman" w:cs="Times New Roman"/>
                <w:b/>
                <w:bCs/>
                <w:lang w:val="en-GB"/>
              </w:rPr>
            </w:pPr>
          </w:p>
        </w:tc>
      </w:tr>
      <w:tr w:rsidR="00594E8B" w:rsidRPr="00490D6A" w14:paraId="5EEA02B7" w14:textId="77777777" w:rsidTr="007273CD">
        <w:tc>
          <w:tcPr>
            <w:tcW w:w="9010" w:type="dxa"/>
          </w:tcPr>
          <w:p w14:paraId="2107A69E" w14:textId="42E45E24" w:rsidR="00594E8B" w:rsidRPr="00490D6A" w:rsidRDefault="00594E8B" w:rsidP="007273CD">
            <w:pPr>
              <w:jc w:val="both"/>
              <w:rPr>
                <w:rFonts w:ascii="Times New Roman" w:eastAsia="Times New Roman" w:hAnsi="Times New Roman" w:cs="Times New Roman"/>
                <w:b/>
                <w:bCs/>
                <w:lang w:val="en-GB"/>
              </w:rPr>
            </w:pPr>
            <w:r w:rsidRPr="00490D6A">
              <w:rPr>
                <w:rFonts w:ascii="Times New Roman" w:eastAsia="Times New Roman" w:hAnsi="Times New Roman" w:cs="Times New Roman"/>
                <w:b/>
                <w:bCs/>
                <w:lang w:val="en-GB"/>
              </w:rPr>
              <w:lastRenderedPageBreak/>
              <w:t xml:space="preserve">1. The existence of a top-level legal requirement </w:t>
            </w:r>
            <w:r w:rsidR="002A6C25">
              <w:rPr>
                <w:rFonts w:ascii="Times New Roman" w:eastAsia="Times New Roman" w:hAnsi="Times New Roman" w:cs="Times New Roman"/>
                <w:b/>
                <w:bCs/>
                <w:lang w:val="en-GB"/>
              </w:rPr>
              <w:t xml:space="preserve">and support </w:t>
            </w:r>
            <w:r w:rsidRPr="00490D6A">
              <w:rPr>
                <w:rFonts w:ascii="Times New Roman" w:eastAsia="Times New Roman" w:hAnsi="Times New Roman" w:cs="Times New Roman"/>
                <w:b/>
                <w:bCs/>
                <w:lang w:val="en-GB"/>
              </w:rPr>
              <w:t>to provide free</w:t>
            </w:r>
            <w:r w:rsidR="00E94999">
              <w:rPr>
                <w:rFonts w:ascii="Times New Roman" w:eastAsia="Times New Roman" w:hAnsi="Times New Roman" w:cs="Times New Roman"/>
                <w:b/>
                <w:bCs/>
                <w:lang w:val="en-GB"/>
              </w:rPr>
              <w:t xml:space="preserve">, </w:t>
            </w:r>
            <w:r w:rsidR="00122201" w:rsidRPr="00122201">
              <w:rPr>
                <w:rFonts w:ascii="Times New Roman" w:eastAsia="Times New Roman" w:hAnsi="Times New Roman" w:cs="Times New Roman"/>
                <w:b/>
                <w:bCs/>
                <w:lang w:val="en-GB"/>
              </w:rPr>
              <w:t>accessible</w:t>
            </w:r>
            <w:r w:rsidR="00E94999">
              <w:rPr>
                <w:rFonts w:ascii="Times New Roman" w:eastAsia="Times New Roman" w:hAnsi="Times New Roman" w:cs="Times New Roman"/>
                <w:b/>
                <w:bCs/>
                <w:lang w:val="en-GB"/>
              </w:rPr>
              <w:t xml:space="preserve"> and timely</w:t>
            </w:r>
            <w:r w:rsidR="00122201" w:rsidRPr="00122201">
              <w:rPr>
                <w:rFonts w:ascii="Times New Roman" w:eastAsia="Times New Roman" w:hAnsi="Times New Roman" w:cs="Times New Roman"/>
                <w:b/>
                <w:bCs/>
                <w:lang w:val="en-GB"/>
              </w:rPr>
              <w:t xml:space="preserve"> </w:t>
            </w:r>
            <w:r w:rsidRPr="00707743">
              <w:rPr>
                <w:rFonts w:ascii="Times New Roman" w:eastAsia="Times New Roman" w:hAnsi="Times New Roman" w:cs="Times New Roman"/>
                <w:b/>
                <w:bCs/>
                <w:u w:val="single"/>
                <w:lang w:val="en-GB"/>
              </w:rPr>
              <w:t>academic and careers</w:t>
            </w:r>
            <w:r w:rsidRPr="00490D6A">
              <w:rPr>
                <w:rFonts w:ascii="Times New Roman" w:eastAsia="Times New Roman" w:hAnsi="Times New Roman" w:cs="Times New Roman"/>
                <w:b/>
                <w:bCs/>
                <w:lang w:val="en-GB"/>
              </w:rPr>
              <w:t xml:space="preserve"> counselling and guidance services to potential and enrolled students in higher education.</w:t>
            </w:r>
          </w:p>
          <w:p w14:paraId="6427CF36" w14:textId="33745AEA" w:rsidR="00A73714" w:rsidRPr="00A73714" w:rsidRDefault="00BD1AA0" w:rsidP="00A73714">
            <w:pPr>
              <w:numPr>
                <w:ilvl w:val="0"/>
                <w:numId w:val="26"/>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sidR="00A73714">
              <w:rPr>
                <w:rFonts w:ascii="Times New Roman" w:eastAsia="Times New Roman" w:hAnsi="Times New Roman" w:cs="Times New Roman"/>
                <w:lang w:val="en-GB"/>
              </w:rPr>
              <w:t xml:space="preserve"> ensures the e</w:t>
            </w:r>
            <w:r w:rsidR="00A73714" w:rsidRPr="00490D6A">
              <w:rPr>
                <w:rFonts w:ascii="Times New Roman" w:eastAsia="Times New Roman" w:hAnsi="Times New Roman" w:cs="Times New Roman"/>
                <w:lang w:val="en-GB"/>
              </w:rPr>
              <w:t>xistence of public centres</w:t>
            </w:r>
            <w:r w:rsidR="00A73714">
              <w:rPr>
                <w:rFonts w:ascii="Times New Roman" w:eastAsia="Times New Roman" w:hAnsi="Times New Roman" w:cs="Times New Roman"/>
                <w:lang w:val="en-GB"/>
              </w:rPr>
              <w:t xml:space="preserve"> and/or contact points at educational institutions</w:t>
            </w:r>
            <w:r w:rsidR="00A73714" w:rsidRPr="00490D6A">
              <w:rPr>
                <w:rFonts w:ascii="Times New Roman" w:eastAsia="Times New Roman" w:hAnsi="Times New Roman" w:cs="Times New Roman"/>
                <w:lang w:val="en-GB"/>
              </w:rPr>
              <w:t xml:space="preserve"> that provide free </w:t>
            </w:r>
            <w:r w:rsidR="002C3131">
              <w:rPr>
                <w:rFonts w:ascii="Times New Roman" w:eastAsia="Times New Roman" w:hAnsi="Times New Roman" w:cs="Times New Roman"/>
                <w:lang w:val="en-GB"/>
              </w:rPr>
              <w:t xml:space="preserve">and inclusive </w:t>
            </w:r>
            <w:r w:rsidR="00A73714" w:rsidRPr="00490D6A">
              <w:rPr>
                <w:rFonts w:ascii="Times New Roman" w:eastAsia="Times New Roman" w:hAnsi="Times New Roman" w:cs="Times New Roman"/>
                <w:lang w:val="en-GB"/>
              </w:rPr>
              <w:t xml:space="preserve">academic and career counselling and guidance </w:t>
            </w:r>
            <w:r w:rsidR="00A73714">
              <w:rPr>
                <w:rFonts w:ascii="Times New Roman" w:eastAsia="Times New Roman" w:hAnsi="Times New Roman" w:cs="Times New Roman"/>
                <w:lang w:val="en-GB"/>
              </w:rPr>
              <w:t>to prospective and current students.</w:t>
            </w:r>
            <w:r w:rsidR="00A73714" w:rsidRPr="00490D6A">
              <w:rPr>
                <w:rFonts w:ascii="Times New Roman" w:eastAsia="Times New Roman" w:hAnsi="Times New Roman" w:cs="Times New Roman"/>
                <w:lang w:val="en-GB"/>
              </w:rPr>
              <w:t xml:space="preserve"> </w:t>
            </w:r>
          </w:p>
          <w:p w14:paraId="43D7E50E" w14:textId="09E7907A" w:rsidR="00F22C12" w:rsidRPr="00490D6A" w:rsidRDefault="00BD1AA0" w:rsidP="00F22C12">
            <w:pPr>
              <w:numPr>
                <w:ilvl w:val="0"/>
                <w:numId w:val="26"/>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sidR="00A73714">
              <w:rPr>
                <w:rFonts w:ascii="Times New Roman" w:eastAsia="Times New Roman" w:hAnsi="Times New Roman" w:cs="Times New Roman"/>
                <w:lang w:val="en-GB"/>
              </w:rPr>
              <w:t xml:space="preserve"> </w:t>
            </w:r>
            <w:r w:rsidR="002A6C25">
              <w:rPr>
                <w:rFonts w:ascii="Times New Roman" w:eastAsia="Times New Roman" w:hAnsi="Times New Roman" w:cs="Times New Roman"/>
                <w:lang w:val="en-GB"/>
              </w:rPr>
              <w:t>facilitates</w:t>
            </w:r>
            <w:r w:rsidR="00A73714">
              <w:rPr>
                <w:rFonts w:ascii="Times New Roman" w:eastAsia="Times New Roman" w:hAnsi="Times New Roman" w:cs="Times New Roman"/>
                <w:lang w:val="en-GB"/>
              </w:rPr>
              <w:t xml:space="preserve"> the</w:t>
            </w:r>
            <w:r w:rsidR="00F22C12" w:rsidRPr="00490D6A">
              <w:rPr>
                <w:rFonts w:ascii="Times New Roman" w:eastAsia="Times New Roman" w:hAnsi="Times New Roman" w:cs="Times New Roman"/>
                <w:lang w:val="en-GB"/>
              </w:rPr>
              <w:t xml:space="preserve"> cooperation among all providers of academic and careers counselling and guidance for higher education </w:t>
            </w:r>
            <w:r w:rsidR="00F22C12">
              <w:rPr>
                <w:rFonts w:ascii="Times New Roman" w:eastAsia="Times New Roman" w:hAnsi="Times New Roman" w:cs="Times New Roman"/>
                <w:lang w:val="en-GB"/>
              </w:rPr>
              <w:t>to enable</w:t>
            </w:r>
            <w:r w:rsidR="00F22C12" w:rsidRPr="00490D6A">
              <w:rPr>
                <w:rFonts w:ascii="Times New Roman" w:eastAsia="Times New Roman" w:hAnsi="Times New Roman" w:cs="Times New Roman"/>
                <w:lang w:val="en-GB"/>
              </w:rPr>
              <w:t xml:space="preserve"> exchange </w:t>
            </w:r>
            <w:r w:rsidR="00F22C12">
              <w:rPr>
                <w:rFonts w:ascii="Times New Roman" w:eastAsia="Times New Roman" w:hAnsi="Times New Roman" w:cs="Times New Roman"/>
                <w:lang w:val="en-GB"/>
              </w:rPr>
              <w:t xml:space="preserve">of </w:t>
            </w:r>
            <w:r w:rsidR="00F22C12" w:rsidRPr="00490D6A">
              <w:rPr>
                <w:rFonts w:ascii="Times New Roman" w:eastAsia="Times New Roman" w:hAnsi="Times New Roman" w:cs="Times New Roman"/>
                <w:lang w:val="en-GB"/>
              </w:rPr>
              <w:t>good practice and omit duplication</w:t>
            </w:r>
            <w:r w:rsidR="00F22C12">
              <w:rPr>
                <w:rFonts w:ascii="Times New Roman" w:eastAsia="Times New Roman" w:hAnsi="Times New Roman" w:cs="Times New Roman"/>
                <w:lang w:val="en-GB"/>
              </w:rPr>
              <w:t>.</w:t>
            </w:r>
          </w:p>
          <w:p w14:paraId="4BEF9C26" w14:textId="28F705B1" w:rsidR="00594E8B" w:rsidRPr="00490D6A" w:rsidRDefault="00BD1AA0">
            <w:pPr>
              <w:numPr>
                <w:ilvl w:val="0"/>
                <w:numId w:val="26"/>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sidR="00594E8B" w:rsidRPr="00490D6A">
              <w:rPr>
                <w:rFonts w:ascii="Times New Roman" w:eastAsia="Times New Roman" w:hAnsi="Times New Roman" w:cs="Times New Roman"/>
                <w:lang w:val="en-GB"/>
              </w:rPr>
              <w:t xml:space="preserve"> </w:t>
            </w:r>
            <w:r w:rsidR="002A6C25">
              <w:rPr>
                <w:rFonts w:ascii="Times New Roman" w:eastAsia="Times New Roman" w:hAnsi="Times New Roman" w:cs="Times New Roman"/>
                <w:lang w:val="en-GB"/>
              </w:rPr>
              <w:t xml:space="preserve">funds </w:t>
            </w:r>
            <w:r>
              <w:rPr>
                <w:rFonts w:ascii="Times New Roman" w:eastAsia="Times New Roman" w:hAnsi="Times New Roman" w:cs="Times New Roman"/>
                <w:lang w:val="en-GB"/>
              </w:rPr>
              <w:t>higher education institutions</w:t>
            </w:r>
            <w:r w:rsidR="00594E8B" w:rsidRPr="00490D6A">
              <w:rPr>
                <w:rFonts w:ascii="Times New Roman" w:eastAsia="Times New Roman" w:hAnsi="Times New Roman" w:cs="Times New Roman"/>
                <w:lang w:val="en-GB"/>
              </w:rPr>
              <w:t xml:space="preserve"> that provide free </w:t>
            </w:r>
            <w:r w:rsidR="002C3131">
              <w:rPr>
                <w:rFonts w:ascii="Times New Roman" w:eastAsia="Times New Roman" w:hAnsi="Times New Roman" w:cs="Times New Roman"/>
                <w:lang w:val="en-GB"/>
              </w:rPr>
              <w:t xml:space="preserve">and inclusive </w:t>
            </w:r>
            <w:r w:rsidR="00594E8B" w:rsidRPr="00490D6A">
              <w:rPr>
                <w:rFonts w:ascii="Times New Roman" w:eastAsia="Times New Roman" w:hAnsi="Times New Roman" w:cs="Times New Roman"/>
                <w:lang w:val="en-GB"/>
              </w:rPr>
              <w:t xml:space="preserve">academic and careers counselling and guidance to potential and current students. </w:t>
            </w:r>
          </w:p>
          <w:p w14:paraId="1E13211C" w14:textId="263B166C" w:rsidR="00594E8B" w:rsidRPr="00490D6A" w:rsidRDefault="00594E8B" w:rsidP="007273CD">
            <w:pPr>
              <w:ind w:left="720"/>
              <w:jc w:val="both"/>
              <w:rPr>
                <w:rFonts w:ascii="Times New Roman" w:eastAsia="Times New Roman" w:hAnsi="Times New Roman" w:cs="Times New Roman"/>
                <w:lang w:val="en-GB"/>
              </w:rPr>
            </w:pPr>
          </w:p>
        </w:tc>
      </w:tr>
      <w:tr w:rsidR="00594E8B" w:rsidRPr="00490D6A" w14:paraId="37461A1D" w14:textId="77777777" w:rsidTr="007273CD">
        <w:tc>
          <w:tcPr>
            <w:tcW w:w="9010" w:type="dxa"/>
          </w:tcPr>
          <w:p w14:paraId="527714A0" w14:textId="073D5537" w:rsidR="00594E8B" w:rsidRPr="00490D6A" w:rsidRDefault="00594E8B" w:rsidP="007273CD">
            <w:pPr>
              <w:jc w:val="both"/>
              <w:rPr>
                <w:rFonts w:ascii="Times New Roman" w:eastAsia="Times New Roman" w:hAnsi="Times New Roman" w:cs="Times New Roman"/>
                <w:b/>
                <w:bCs/>
                <w:lang w:val="en-GB"/>
              </w:rPr>
            </w:pPr>
            <w:r w:rsidRPr="00490D6A">
              <w:rPr>
                <w:rFonts w:ascii="Times New Roman" w:eastAsia="Times New Roman" w:hAnsi="Times New Roman" w:cs="Times New Roman"/>
                <w:b/>
                <w:bCs/>
                <w:lang w:val="en-GB"/>
              </w:rPr>
              <w:t>2. The existence of a top-level legal requirement to provide free</w:t>
            </w:r>
            <w:r w:rsidR="00E94999">
              <w:rPr>
                <w:rFonts w:ascii="Times New Roman" w:eastAsia="Times New Roman" w:hAnsi="Times New Roman" w:cs="Times New Roman"/>
                <w:b/>
                <w:bCs/>
                <w:lang w:val="en-GB"/>
              </w:rPr>
              <w:t>, a</w:t>
            </w:r>
            <w:r w:rsidR="00122201" w:rsidRPr="00122201">
              <w:rPr>
                <w:rFonts w:ascii="Times New Roman" w:eastAsia="Times New Roman" w:hAnsi="Times New Roman" w:cs="Times New Roman"/>
                <w:b/>
                <w:bCs/>
                <w:lang w:val="en-GB"/>
              </w:rPr>
              <w:t>ccessible</w:t>
            </w:r>
            <w:r w:rsidR="00E94999">
              <w:rPr>
                <w:rFonts w:ascii="Times New Roman" w:eastAsia="Times New Roman" w:hAnsi="Times New Roman" w:cs="Times New Roman"/>
                <w:b/>
                <w:bCs/>
                <w:lang w:val="en-GB"/>
              </w:rPr>
              <w:t xml:space="preserve"> and timely</w:t>
            </w:r>
            <w:r w:rsidR="00122201" w:rsidRPr="00122201">
              <w:rPr>
                <w:rFonts w:ascii="Times New Roman" w:eastAsia="Times New Roman" w:hAnsi="Times New Roman" w:cs="Times New Roman"/>
                <w:b/>
                <w:bCs/>
                <w:lang w:val="en-GB"/>
              </w:rPr>
              <w:t xml:space="preserve"> </w:t>
            </w:r>
            <w:r w:rsidRPr="00707743">
              <w:rPr>
                <w:rFonts w:ascii="Times New Roman" w:eastAsia="Times New Roman" w:hAnsi="Times New Roman" w:cs="Times New Roman"/>
                <w:b/>
                <w:bCs/>
                <w:u w:val="single"/>
                <w:lang w:val="en-GB"/>
              </w:rPr>
              <w:t xml:space="preserve">psychological </w:t>
            </w:r>
            <w:r w:rsidRPr="00490D6A">
              <w:rPr>
                <w:rFonts w:ascii="Times New Roman" w:eastAsia="Times New Roman" w:hAnsi="Times New Roman" w:cs="Times New Roman"/>
                <w:b/>
                <w:bCs/>
                <w:lang w:val="en-GB"/>
              </w:rPr>
              <w:t>counselling and guidance services to potential and enrolled students</w:t>
            </w:r>
            <w:r w:rsidR="00707743">
              <w:rPr>
                <w:rFonts w:ascii="Times New Roman" w:eastAsia="Times New Roman" w:hAnsi="Times New Roman" w:cs="Times New Roman"/>
                <w:b/>
                <w:bCs/>
                <w:lang w:val="en-GB"/>
              </w:rPr>
              <w:t>,</w:t>
            </w:r>
            <w:r w:rsidRPr="00490D6A">
              <w:rPr>
                <w:rFonts w:ascii="Times New Roman" w:eastAsia="Times New Roman" w:hAnsi="Times New Roman" w:cs="Times New Roman"/>
                <w:b/>
                <w:bCs/>
                <w:lang w:val="en-GB"/>
              </w:rPr>
              <w:t xml:space="preserve"> as well as to staff in higher education (Eurydice, 2022).</w:t>
            </w:r>
          </w:p>
          <w:p w14:paraId="0DFC0E60" w14:textId="739FE22D" w:rsidR="00C17CB3" w:rsidRPr="00E94999" w:rsidRDefault="00707743" w:rsidP="00E94999">
            <w:pPr>
              <w:numPr>
                <w:ilvl w:val="0"/>
                <w:numId w:val="26"/>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sidR="00C17CB3">
              <w:rPr>
                <w:rFonts w:ascii="Times New Roman" w:eastAsia="Times New Roman" w:hAnsi="Times New Roman" w:cs="Times New Roman"/>
                <w:lang w:val="en-GB"/>
              </w:rPr>
              <w:t xml:space="preserve"> supports the </w:t>
            </w:r>
            <w:r w:rsidR="00E94999">
              <w:rPr>
                <w:rFonts w:ascii="Times New Roman" w:eastAsia="Times New Roman" w:hAnsi="Times New Roman" w:cs="Times New Roman"/>
                <w:lang w:val="en-GB"/>
              </w:rPr>
              <w:t xml:space="preserve">access of students and staff to </w:t>
            </w:r>
            <w:r w:rsidR="00E94999" w:rsidRPr="00490D6A">
              <w:rPr>
                <w:rFonts w:ascii="Times New Roman" w:eastAsia="Times New Roman" w:hAnsi="Times New Roman" w:cs="Times New Roman"/>
                <w:lang w:val="en-GB"/>
              </w:rPr>
              <w:t xml:space="preserve">free </w:t>
            </w:r>
            <w:r w:rsidR="00E94999">
              <w:rPr>
                <w:rFonts w:ascii="Times New Roman" w:eastAsia="Times New Roman" w:hAnsi="Times New Roman" w:cs="Times New Roman"/>
                <w:lang w:val="en-GB"/>
              </w:rPr>
              <w:t xml:space="preserve">and inclusive </w:t>
            </w:r>
            <w:r w:rsidR="00E94999" w:rsidRPr="00490D6A">
              <w:rPr>
                <w:rFonts w:ascii="Times New Roman" w:eastAsia="Times New Roman" w:hAnsi="Times New Roman" w:cs="Times New Roman"/>
                <w:lang w:val="en-GB"/>
              </w:rPr>
              <w:t>psychological counselling</w:t>
            </w:r>
            <w:r w:rsidR="00E94999">
              <w:rPr>
                <w:rFonts w:ascii="Times New Roman" w:eastAsia="Times New Roman" w:hAnsi="Times New Roman" w:cs="Times New Roman"/>
                <w:lang w:val="en-GB"/>
              </w:rPr>
              <w:t xml:space="preserve"> and guidance in </w:t>
            </w:r>
            <w:r w:rsidR="002C3131" w:rsidRPr="00E94999">
              <w:rPr>
                <w:rFonts w:ascii="Times New Roman" w:eastAsia="Times New Roman" w:hAnsi="Times New Roman" w:cs="Times New Roman"/>
                <w:lang w:val="en-GB"/>
              </w:rPr>
              <w:t>public centres</w:t>
            </w:r>
            <w:r w:rsidR="00E94999">
              <w:rPr>
                <w:rFonts w:ascii="Times New Roman" w:eastAsia="Times New Roman" w:hAnsi="Times New Roman" w:cs="Times New Roman"/>
                <w:lang w:val="en-GB"/>
              </w:rPr>
              <w:t>.</w:t>
            </w:r>
            <w:r w:rsidR="00C17CB3" w:rsidRPr="00E94999">
              <w:rPr>
                <w:rFonts w:ascii="Times New Roman" w:eastAsia="Times New Roman" w:hAnsi="Times New Roman" w:cs="Times New Roman"/>
                <w:lang w:val="en-GB"/>
              </w:rPr>
              <w:t xml:space="preserve"> </w:t>
            </w:r>
          </w:p>
          <w:p w14:paraId="493B84A2" w14:textId="27C01A9F" w:rsidR="008C0E39" w:rsidRPr="00490D6A" w:rsidRDefault="00707743" w:rsidP="008C0E39">
            <w:pPr>
              <w:numPr>
                <w:ilvl w:val="0"/>
                <w:numId w:val="26"/>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Pr>
                <w:rFonts w:ascii="Times New Roman" w:eastAsia="Times New Roman" w:hAnsi="Times New Roman" w:cs="Times New Roman"/>
                <w:bCs/>
              </w:rPr>
              <w:t xml:space="preserve"> facilitates</w:t>
            </w:r>
            <w:r w:rsidR="002C3131" w:rsidRPr="00490D6A">
              <w:rPr>
                <w:rFonts w:ascii="Times New Roman" w:eastAsia="Times New Roman" w:hAnsi="Times New Roman" w:cs="Times New Roman"/>
                <w:lang w:val="en-GB"/>
              </w:rPr>
              <w:t xml:space="preserve"> cooperation </w:t>
            </w:r>
            <w:r w:rsidR="008C0E39" w:rsidRPr="00490D6A">
              <w:rPr>
                <w:rFonts w:ascii="Times New Roman" w:eastAsia="Times New Roman" w:hAnsi="Times New Roman" w:cs="Times New Roman"/>
                <w:lang w:val="en-GB"/>
              </w:rPr>
              <w:t>among all providers of psychological counselling and guidance for higher education</w:t>
            </w:r>
            <w:r w:rsidR="008C0E39">
              <w:rPr>
                <w:rFonts w:ascii="Times New Roman" w:eastAsia="Times New Roman" w:hAnsi="Times New Roman" w:cs="Times New Roman"/>
                <w:lang w:val="en-GB"/>
              </w:rPr>
              <w:t xml:space="preserve"> to enable </w:t>
            </w:r>
            <w:r w:rsidR="008C0E39" w:rsidRPr="00490D6A">
              <w:rPr>
                <w:rFonts w:ascii="Times New Roman" w:eastAsia="Times New Roman" w:hAnsi="Times New Roman" w:cs="Times New Roman"/>
                <w:lang w:val="en-GB"/>
              </w:rPr>
              <w:t xml:space="preserve">exchange </w:t>
            </w:r>
            <w:r w:rsidR="008C0E39">
              <w:rPr>
                <w:rFonts w:ascii="Times New Roman" w:eastAsia="Times New Roman" w:hAnsi="Times New Roman" w:cs="Times New Roman"/>
                <w:lang w:val="en-GB"/>
              </w:rPr>
              <w:t xml:space="preserve">of </w:t>
            </w:r>
            <w:r w:rsidR="008C0E39" w:rsidRPr="00490D6A">
              <w:rPr>
                <w:rFonts w:ascii="Times New Roman" w:eastAsia="Times New Roman" w:hAnsi="Times New Roman" w:cs="Times New Roman"/>
                <w:lang w:val="en-GB"/>
              </w:rPr>
              <w:t>good practice and omit duplication</w:t>
            </w:r>
            <w:r w:rsidR="008C0E39">
              <w:rPr>
                <w:rFonts w:ascii="Times New Roman" w:eastAsia="Times New Roman" w:hAnsi="Times New Roman" w:cs="Times New Roman"/>
                <w:lang w:val="en-GB"/>
              </w:rPr>
              <w:t>.</w:t>
            </w:r>
          </w:p>
          <w:p w14:paraId="5DC5B60D" w14:textId="6E4593C3" w:rsidR="00642B15" w:rsidRDefault="00707743" w:rsidP="00642B15">
            <w:pPr>
              <w:numPr>
                <w:ilvl w:val="0"/>
                <w:numId w:val="26"/>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sidR="00594E8B" w:rsidRPr="00490D6A">
              <w:rPr>
                <w:rFonts w:ascii="Times New Roman" w:eastAsia="Times New Roman" w:hAnsi="Times New Roman" w:cs="Times New Roman"/>
                <w:lang w:val="en-GB"/>
              </w:rPr>
              <w:t xml:space="preserve"> </w:t>
            </w:r>
            <w:r w:rsidR="002A6C25">
              <w:rPr>
                <w:rFonts w:ascii="Times New Roman" w:eastAsia="Times New Roman" w:hAnsi="Times New Roman" w:cs="Times New Roman"/>
                <w:lang w:val="en-GB"/>
              </w:rPr>
              <w:t>fund</w:t>
            </w:r>
            <w:r w:rsidR="00594E8B" w:rsidRPr="00490D6A">
              <w:rPr>
                <w:rFonts w:ascii="Times New Roman" w:eastAsia="Times New Roman" w:hAnsi="Times New Roman" w:cs="Times New Roman"/>
                <w:lang w:val="en-GB"/>
              </w:rPr>
              <w:t xml:space="preserve">s </w:t>
            </w:r>
            <w:r>
              <w:rPr>
                <w:rFonts w:ascii="Times New Roman" w:eastAsia="Times New Roman" w:hAnsi="Times New Roman" w:cs="Times New Roman"/>
                <w:lang w:val="en-GB"/>
              </w:rPr>
              <w:t>higher education institutions</w:t>
            </w:r>
            <w:r w:rsidR="00594E8B" w:rsidRPr="00490D6A">
              <w:rPr>
                <w:rFonts w:ascii="Times New Roman" w:eastAsia="Times New Roman" w:hAnsi="Times New Roman" w:cs="Times New Roman"/>
                <w:lang w:val="en-GB"/>
              </w:rPr>
              <w:t xml:space="preserve"> that provide free </w:t>
            </w:r>
            <w:r w:rsidR="002C3131">
              <w:rPr>
                <w:rFonts w:ascii="Times New Roman" w:eastAsia="Times New Roman" w:hAnsi="Times New Roman" w:cs="Times New Roman"/>
                <w:lang w:val="en-GB"/>
              </w:rPr>
              <w:t xml:space="preserve">and inclusive </w:t>
            </w:r>
            <w:r w:rsidR="00594E8B" w:rsidRPr="00490D6A">
              <w:rPr>
                <w:rFonts w:ascii="Times New Roman" w:eastAsia="Times New Roman" w:hAnsi="Times New Roman" w:cs="Times New Roman"/>
                <w:lang w:val="en-GB"/>
              </w:rPr>
              <w:t>psychological counselling and guida</w:t>
            </w:r>
            <w:r w:rsidR="00E94999">
              <w:rPr>
                <w:rFonts w:ascii="Times New Roman" w:eastAsia="Times New Roman" w:hAnsi="Times New Roman" w:cs="Times New Roman"/>
                <w:lang w:val="en-GB"/>
              </w:rPr>
              <w:t xml:space="preserve">nce to potential </w:t>
            </w:r>
            <w:r>
              <w:rPr>
                <w:rFonts w:ascii="Times New Roman" w:eastAsia="Times New Roman" w:hAnsi="Times New Roman" w:cs="Times New Roman"/>
                <w:lang w:val="en-GB"/>
              </w:rPr>
              <w:t xml:space="preserve">and enrolled </w:t>
            </w:r>
            <w:r w:rsidR="00E94999">
              <w:rPr>
                <w:rFonts w:ascii="Times New Roman" w:eastAsia="Times New Roman" w:hAnsi="Times New Roman" w:cs="Times New Roman"/>
                <w:lang w:val="en-GB"/>
              </w:rPr>
              <w:t>students</w:t>
            </w:r>
            <w:r>
              <w:rPr>
                <w:rFonts w:ascii="Times New Roman" w:eastAsia="Times New Roman" w:hAnsi="Times New Roman" w:cs="Times New Roman"/>
                <w:lang w:val="en-GB"/>
              </w:rPr>
              <w:t>, as well as to staff</w:t>
            </w:r>
            <w:r w:rsidR="00E94999">
              <w:rPr>
                <w:rFonts w:ascii="Times New Roman" w:eastAsia="Times New Roman" w:hAnsi="Times New Roman" w:cs="Times New Roman"/>
                <w:lang w:val="en-GB"/>
              </w:rPr>
              <w:t>.</w:t>
            </w:r>
          </w:p>
          <w:p w14:paraId="08638E70" w14:textId="462E35E9" w:rsidR="00594E8B" w:rsidRDefault="00707743" w:rsidP="00642B15">
            <w:pPr>
              <w:numPr>
                <w:ilvl w:val="0"/>
                <w:numId w:val="26"/>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sidR="00AA0D50" w:rsidRPr="00642B15">
              <w:rPr>
                <w:rFonts w:ascii="Times New Roman" w:eastAsia="Times New Roman" w:hAnsi="Times New Roman" w:cs="Times New Roman"/>
                <w:lang w:val="en-GB"/>
              </w:rPr>
              <w:t xml:space="preserve"> </w:t>
            </w:r>
            <w:r w:rsidR="002A6C25">
              <w:rPr>
                <w:rFonts w:ascii="Times New Roman" w:eastAsia="Times New Roman" w:hAnsi="Times New Roman" w:cs="Times New Roman"/>
                <w:lang w:val="en-GB"/>
              </w:rPr>
              <w:t>funds and requires</w:t>
            </w:r>
            <w:r w:rsidR="00AA0D50" w:rsidRPr="00642B15">
              <w:rPr>
                <w:rFonts w:ascii="Times New Roman" w:eastAsia="Times New Roman" w:hAnsi="Times New Roman" w:cs="Times New Roman"/>
                <w:lang w:val="en-GB"/>
              </w:rPr>
              <w:t xml:space="preserve"> </w:t>
            </w:r>
            <w:r>
              <w:rPr>
                <w:rFonts w:ascii="Times New Roman" w:eastAsia="Times New Roman" w:hAnsi="Times New Roman" w:cs="Times New Roman"/>
                <w:lang w:val="en-GB"/>
              </w:rPr>
              <w:t>higher education institutions</w:t>
            </w:r>
            <w:r w:rsidR="00AA0D50" w:rsidRPr="00642B15">
              <w:rPr>
                <w:rFonts w:ascii="Times New Roman" w:eastAsia="Times New Roman" w:hAnsi="Times New Roman" w:cs="Times New Roman"/>
                <w:lang w:val="en-GB"/>
              </w:rPr>
              <w:t xml:space="preserve"> t</w:t>
            </w:r>
            <w:r>
              <w:rPr>
                <w:rFonts w:ascii="Times New Roman" w:eastAsia="Times New Roman" w:hAnsi="Times New Roman" w:cs="Times New Roman"/>
                <w:lang w:val="en-GB"/>
              </w:rPr>
              <w:t>o</w:t>
            </w:r>
            <w:r w:rsidR="00AA0D50" w:rsidRPr="00642B15">
              <w:rPr>
                <w:rFonts w:ascii="Times New Roman" w:eastAsia="Times New Roman" w:hAnsi="Times New Roman" w:cs="Times New Roman"/>
                <w:lang w:val="en-GB"/>
              </w:rPr>
              <w:t xml:space="preserve"> adapt their organization of studies and students’ living conditions in </w:t>
            </w:r>
            <w:r w:rsidR="00642B15" w:rsidRPr="00642B15">
              <w:rPr>
                <w:rFonts w:ascii="Times New Roman" w:eastAsia="Times New Roman" w:hAnsi="Times New Roman" w:cs="Times New Roman"/>
                <w:lang w:val="en-GB"/>
              </w:rPr>
              <w:t xml:space="preserve">a way that </w:t>
            </w:r>
            <w:r w:rsidR="00AA0D50" w:rsidRPr="00642B15">
              <w:rPr>
                <w:rFonts w:ascii="Times New Roman" w:eastAsia="Times New Roman" w:hAnsi="Times New Roman" w:cs="Times New Roman"/>
                <w:lang w:val="en-GB"/>
              </w:rPr>
              <w:t>prevent</w:t>
            </w:r>
            <w:r>
              <w:rPr>
                <w:rFonts w:ascii="Times New Roman" w:eastAsia="Times New Roman" w:hAnsi="Times New Roman" w:cs="Times New Roman"/>
                <w:lang w:val="en-GB"/>
              </w:rPr>
              <w:t>s</w:t>
            </w:r>
            <w:r w:rsidR="00AA0D50" w:rsidRPr="00642B15">
              <w:rPr>
                <w:rFonts w:ascii="Times New Roman" w:eastAsia="Times New Roman" w:hAnsi="Times New Roman" w:cs="Times New Roman"/>
                <w:lang w:val="en-GB"/>
              </w:rPr>
              <w:t xml:space="preserve"> or mitigate</w:t>
            </w:r>
            <w:r>
              <w:rPr>
                <w:rFonts w:ascii="Times New Roman" w:eastAsia="Times New Roman" w:hAnsi="Times New Roman" w:cs="Times New Roman"/>
                <w:lang w:val="en-GB"/>
              </w:rPr>
              <w:t>s</w:t>
            </w:r>
            <w:r w:rsidR="00AA0D50" w:rsidRPr="00642B15">
              <w:rPr>
                <w:rFonts w:ascii="Times New Roman" w:eastAsia="Times New Roman" w:hAnsi="Times New Roman" w:cs="Times New Roman"/>
                <w:lang w:val="en-GB"/>
              </w:rPr>
              <w:t xml:space="preserve"> potential psychological </w:t>
            </w:r>
            <w:r w:rsidR="00642B15" w:rsidRPr="00642B15">
              <w:rPr>
                <w:rFonts w:ascii="Times New Roman" w:eastAsia="Times New Roman" w:hAnsi="Times New Roman" w:cs="Times New Roman"/>
                <w:lang w:val="en-GB"/>
              </w:rPr>
              <w:t>challenges</w:t>
            </w:r>
            <w:r w:rsidR="00AA0D50" w:rsidRPr="00642B15">
              <w:rPr>
                <w:rFonts w:ascii="Times New Roman" w:eastAsia="Times New Roman" w:hAnsi="Times New Roman" w:cs="Times New Roman"/>
                <w:lang w:val="en-GB"/>
              </w:rPr>
              <w:t xml:space="preserve">.  </w:t>
            </w:r>
          </w:p>
          <w:p w14:paraId="47C04C90" w14:textId="04E60BE9" w:rsidR="00642B15" w:rsidRPr="00642B15" w:rsidRDefault="00642B15" w:rsidP="00642B15">
            <w:pPr>
              <w:ind w:left="720"/>
              <w:jc w:val="both"/>
              <w:rPr>
                <w:rFonts w:ascii="Times New Roman" w:eastAsia="Times New Roman" w:hAnsi="Times New Roman" w:cs="Times New Roman"/>
                <w:lang w:val="en-GB"/>
              </w:rPr>
            </w:pPr>
          </w:p>
        </w:tc>
      </w:tr>
      <w:tr w:rsidR="00594E8B" w:rsidRPr="00490D6A" w14:paraId="131DA18E" w14:textId="77777777" w:rsidTr="007273CD">
        <w:tc>
          <w:tcPr>
            <w:tcW w:w="9010" w:type="dxa"/>
          </w:tcPr>
          <w:p w14:paraId="1764904C" w14:textId="77777777" w:rsidR="00594E8B" w:rsidRPr="00490D6A" w:rsidRDefault="00594E8B" w:rsidP="007273CD">
            <w:pPr>
              <w:jc w:val="both"/>
              <w:rPr>
                <w:rFonts w:ascii="Times New Roman" w:eastAsia="Times New Roman" w:hAnsi="Times New Roman" w:cs="Times New Roman"/>
                <w:b/>
                <w:bCs/>
                <w:lang w:val="en-GB"/>
              </w:rPr>
            </w:pPr>
            <w:r w:rsidRPr="00490D6A">
              <w:rPr>
                <w:rFonts w:ascii="Times New Roman" w:eastAsia="Times New Roman" w:hAnsi="Times New Roman" w:cs="Times New Roman"/>
                <w:b/>
                <w:bCs/>
                <w:lang w:val="en-GB"/>
              </w:rPr>
              <w:t>3. Quality assurance of career, academic as well as psychological counselling and guidance services in higher education is required (Eurydice, 2022).</w:t>
            </w:r>
          </w:p>
          <w:p w14:paraId="1815B161" w14:textId="64298E75" w:rsidR="00F9130F" w:rsidRPr="009C3AB6" w:rsidRDefault="00F9130F" w:rsidP="00F9130F">
            <w:pPr>
              <w:numPr>
                <w:ilvl w:val="0"/>
                <w:numId w:val="13"/>
              </w:numPr>
              <w:pBdr>
                <w:top w:val="nil"/>
                <w:left w:val="nil"/>
                <w:bottom w:val="nil"/>
                <w:right w:val="nil"/>
                <w:between w:val="nil"/>
              </w:pBdr>
              <w:ind w:left="720"/>
              <w:jc w:val="both"/>
              <w:rPr>
                <w:rFonts w:ascii="Times New Roman" w:eastAsia="Times New Roman" w:hAnsi="Times New Roman" w:cs="Times New Roman"/>
                <w:bCs/>
              </w:rPr>
            </w:pPr>
            <w:r w:rsidRPr="00250B12">
              <w:rPr>
                <w:rFonts w:ascii="Times New Roman" w:eastAsia="Times New Roman" w:hAnsi="Times New Roman" w:cs="Times New Roman"/>
                <w:bCs/>
              </w:rPr>
              <w:t xml:space="preserve">Quality assurance agencies have </w:t>
            </w:r>
            <w:r w:rsidRPr="009C3AB6">
              <w:rPr>
                <w:rFonts w:ascii="Times New Roman" w:eastAsia="Times New Roman" w:hAnsi="Times New Roman" w:cs="Times New Roman"/>
                <w:bCs/>
              </w:rPr>
              <w:t xml:space="preserve">standards and criteria in their external evaluation procedures that </w:t>
            </w:r>
            <w:r w:rsidR="00707009">
              <w:rPr>
                <w:rFonts w:ascii="Times New Roman" w:eastAsia="Times New Roman" w:hAnsi="Times New Roman" w:cs="Times New Roman"/>
                <w:bCs/>
              </w:rPr>
              <w:t xml:space="preserve">check whether </w:t>
            </w:r>
            <w:r w:rsidR="00707743">
              <w:rPr>
                <w:rFonts w:ascii="Times New Roman" w:eastAsia="Times New Roman" w:hAnsi="Times New Roman" w:cs="Times New Roman"/>
                <w:lang w:val="en-GB"/>
              </w:rPr>
              <w:t>higher education institutions</w:t>
            </w:r>
            <w:r w:rsidR="00707009">
              <w:rPr>
                <w:rFonts w:ascii="Times New Roman" w:eastAsia="Times New Roman" w:hAnsi="Times New Roman" w:cs="Times New Roman"/>
                <w:bCs/>
              </w:rPr>
              <w:t xml:space="preserve"> have</w:t>
            </w:r>
            <w:r w:rsidRPr="009C3AB6">
              <w:rPr>
                <w:rFonts w:ascii="Times New Roman" w:eastAsia="Times New Roman" w:hAnsi="Times New Roman" w:cs="Times New Roman"/>
                <w:bCs/>
              </w:rPr>
              <w:t xml:space="preserve"> </w:t>
            </w:r>
            <w:r w:rsidR="00B66DD0">
              <w:rPr>
                <w:rFonts w:ascii="Times New Roman" w:eastAsia="Times New Roman" w:hAnsi="Times New Roman" w:cs="Times New Roman"/>
                <w:bCs/>
              </w:rPr>
              <w:t xml:space="preserve">career, academic and psychological counselling services </w:t>
            </w:r>
            <w:r w:rsidR="00707009">
              <w:rPr>
                <w:rFonts w:ascii="Times New Roman" w:eastAsia="Times New Roman" w:hAnsi="Times New Roman" w:cs="Times New Roman"/>
                <w:bCs/>
              </w:rPr>
              <w:t>and whether beneficiaries are satisfied with these services</w:t>
            </w:r>
            <w:r w:rsidR="00B66DD0">
              <w:rPr>
                <w:rFonts w:ascii="Times New Roman" w:eastAsia="Times New Roman" w:hAnsi="Times New Roman" w:cs="Times New Roman"/>
                <w:bCs/>
              </w:rPr>
              <w:t xml:space="preserve">. </w:t>
            </w:r>
          </w:p>
          <w:p w14:paraId="08006B36" w14:textId="77777777" w:rsidR="00594E8B" w:rsidRPr="00490D6A" w:rsidRDefault="00594E8B" w:rsidP="007273CD">
            <w:pPr>
              <w:jc w:val="both"/>
              <w:rPr>
                <w:rFonts w:ascii="Times New Roman" w:eastAsia="Times New Roman" w:hAnsi="Times New Roman" w:cs="Times New Roman"/>
                <w:b/>
                <w:bCs/>
                <w:lang w:val="en-GB"/>
              </w:rPr>
            </w:pPr>
          </w:p>
        </w:tc>
      </w:tr>
      <w:tr w:rsidR="00594E8B" w:rsidRPr="00490D6A" w14:paraId="3C709707" w14:textId="77777777" w:rsidTr="007273CD">
        <w:tc>
          <w:tcPr>
            <w:tcW w:w="9010" w:type="dxa"/>
          </w:tcPr>
          <w:p w14:paraId="72CB7B22" w14:textId="041C5062" w:rsidR="00594E8B" w:rsidRPr="00490D6A" w:rsidRDefault="00594E8B" w:rsidP="007273CD">
            <w:pPr>
              <w:jc w:val="both"/>
              <w:rPr>
                <w:rFonts w:ascii="Times New Roman" w:eastAsia="Times New Roman" w:hAnsi="Times New Roman" w:cs="Times New Roman"/>
                <w:b/>
                <w:bCs/>
                <w:lang w:val="en-GB"/>
              </w:rPr>
            </w:pPr>
            <w:r w:rsidRPr="00490D6A">
              <w:rPr>
                <w:rFonts w:ascii="Times New Roman" w:eastAsia="Times New Roman" w:hAnsi="Times New Roman" w:cs="Times New Roman"/>
                <w:b/>
                <w:bCs/>
                <w:lang w:val="en-GB"/>
              </w:rPr>
              <w:t>4. Existence of public institution(s) with a formal role</w:t>
            </w:r>
            <w:r w:rsidR="00642B15">
              <w:rPr>
                <w:rFonts w:ascii="Times New Roman" w:eastAsia="Times New Roman" w:hAnsi="Times New Roman" w:cs="Times New Roman"/>
                <w:b/>
                <w:bCs/>
                <w:lang w:val="en-GB"/>
              </w:rPr>
              <w:t xml:space="preserve"> in conflict resolution</w:t>
            </w:r>
            <w:r w:rsidR="00F9130F">
              <w:rPr>
                <w:rFonts w:ascii="Times New Roman" w:eastAsia="Times New Roman" w:hAnsi="Times New Roman" w:cs="Times New Roman"/>
                <w:b/>
                <w:bCs/>
                <w:lang w:val="en-GB"/>
              </w:rPr>
              <w:t xml:space="preserve"> and in </w:t>
            </w:r>
            <w:r w:rsidRPr="00490D6A">
              <w:rPr>
                <w:rFonts w:ascii="Times New Roman" w:eastAsia="Times New Roman" w:hAnsi="Times New Roman" w:cs="Times New Roman"/>
                <w:b/>
                <w:bCs/>
                <w:lang w:val="en-GB"/>
              </w:rPr>
              <w:t xml:space="preserve">mediating conflicts related to social dimension in higher education (Eurydice, 2022). </w:t>
            </w:r>
          </w:p>
          <w:p w14:paraId="033FAA30" w14:textId="77777777" w:rsidR="00594E8B" w:rsidRPr="00490D6A" w:rsidRDefault="00594E8B" w:rsidP="007273CD">
            <w:pPr>
              <w:jc w:val="both"/>
              <w:rPr>
                <w:rFonts w:ascii="Times New Roman" w:eastAsia="Times New Roman" w:hAnsi="Times New Roman" w:cs="Times New Roman"/>
                <w:b/>
                <w:bCs/>
                <w:color w:val="0563C1"/>
                <w:lang w:val="en-GB"/>
              </w:rPr>
            </w:pPr>
          </w:p>
        </w:tc>
      </w:tr>
    </w:tbl>
    <w:p w14:paraId="04D9308A" w14:textId="1B27C6D2" w:rsidR="00187DF3" w:rsidRDefault="00187DF3">
      <w:pPr>
        <w:jc w:val="both"/>
        <w:rPr>
          <w:rFonts w:ascii="Times New Roman" w:eastAsia="Times New Roman" w:hAnsi="Times New Roman" w:cs="Times New Roman"/>
          <w:b/>
          <w:sz w:val="24"/>
          <w:szCs w:val="24"/>
        </w:rPr>
      </w:pPr>
    </w:p>
    <w:p w14:paraId="600331F7" w14:textId="77777777" w:rsidR="00187DF3" w:rsidRDefault="00187DF3">
      <w:pPr>
        <w:jc w:val="both"/>
        <w:rPr>
          <w:rFonts w:ascii="Times New Roman" w:eastAsia="Times New Roman" w:hAnsi="Times New Roman" w:cs="Times New Roman"/>
          <w:b/>
          <w:sz w:val="24"/>
          <w:szCs w:val="24"/>
        </w:rPr>
      </w:pPr>
    </w:p>
    <w:p w14:paraId="3B5FC89A" w14:textId="77777777" w:rsidR="00152FC0" w:rsidRDefault="0080179B" w:rsidP="00D6013A">
      <w:pPr>
        <w:pBdr>
          <w:top w:val="single" w:sz="4" w:space="1" w:color="000000"/>
          <w:left w:val="single" w:sz="4" w:space="4" w:color="000000"/>
          <w:bottom w:val="single" w:sz="4" w:space="1" w:color="000000"/>
          <w:right w:val="single" w:sz="4" w:space="4" w:color="000000"/>
          <w:between w:val="single" w:sz="4" w:space="1" w:color="000000"/>
        </w:pBdr>
        <w:shd w:val="clear" w:color="auto" w:fill="70AD47" w:themeFill="accen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Public authorities should provide sufficient and sustainable funding and financial autonomy to higher education institutions enabling them to build adequate capacity to embrace diversity and contribute to equity and inclusion in higher education. </w:t>
      </w:r>
      <w:r>
        <w:rPr>
          <w:rFonts w:ascii="Calibri" w:eastAsia="Calibri" w:hAnsi="Calibri" w:cs="Calibri"/>
          <w:b/>
          <w:sz w:val="24"/>
          <w:szCs w:val="24"/>
        </w:rPr>
        <w:t xml:space="preserve"> </w:t>
      </w:r>
    </w:p>
    <w:p w14:paraId="649F9BC7" w14:textId="77777777" w:rsidR="00152FC0" w:rsidRDefault="00152FC0">
      <w:pPr>
        <w:jc w:val="both"/>
        <w:rPr>
          <w:rFonts w:ascii="Times New Roman" w:eastAsia="Times New Roman" w:hAnsi="Times New Roman" w:cs="Times New Roman"/>
          <w:b/>
          <w:sz w:val="24"/>
          <w:szCs w:val="24"/>
        </w:rPr>
      </w:pPr>
    </w:p>
    <w:p w14:paraId="5A280758" w14:textId="77777777" w:rsidR="00152FC0" w:rsidRPr="00A47E07" w:rsidRDefault="0080179B">
      <w:pPr>
        <w:ind w:left="720"/>
        <w:jc w:val="both"/>
        <w:rPr>
          <w:rFonts w:ascii="Times New Roman" w:eastAsia="Times New Roman" w:hAnsi="Times New Roman" w:cs="Times New Roman"/>
          <w:b/>
        </w:rPr>
      </w:pPr>
      <w:r w:rsidRPr="00A47E07">
        <w:rPr>
          <w:rFonts w:ascii="Times New Roman" w:eastAsia="Times New Roman" w:hAnsi="Times New Roman" w:cs="Times New Roman"/>
          <w:b/>
        </w:rPr>
        <w:t>Guidelines:</w:t>
      </w:r>
    </w:p>
    <w:p w14:paraId="4CAEA3F1" w14:textId="56BED18D" w:rsidR="00152FC0" w:rsidRPr="00732684" w:rsidRDefault="0080179B">
      <w:pPr>
        <w:numPr>
          <w:ilvl w:val="1"/>
          <w:numId w:val="15"/>
        </w:numPr>
        <w:jc w:val="both"/>
        <w:rPr>
          <w:rFonts w:ascii="Times New Roman" w:eastAsia="Times New Roman" w:hAnsi="Times New Roman" w:cs="Times New Roman"/>
        </w:rPr>
      </w:pPr>
      <w:r w:rsidRPr="00732684">
        <w:rPr>
          <w:rFonts w:ascii="Times New Roman" w:eastAsia="Times New Roman" w:hAnsi="Times New Roman" w:cs="Times New Roman"/>
        </w:rPr>
        <w:t xml:space="preserve">Higher education funding systems should facilitate the attainment of strategic objectives related to the social dimension of higher education. Higher education institutions should be supported and rewarded for meeting agreed targets in widening access, increasing participation in and completion of higher education studies, </w:t>
      </w:r>
      <w:r w:rsidR="00732684" w:rsidRPr="00732684">
        <w:rPr>
          <w:rFonts w:ascii="Times New Roman" w:eastAsia="Times New Roman" w:hAnsi="Times New Roman" w:cs="Times New Roman"/>
        </w:rPr>
        <w:t>in</w:t>
      </w:r>
      <w:r w:rsidRPr="00732684">
        <w:rPr>
          <w:rFonts w:ascii="Times New Roman" w:eastAsia="Times New Roman" w:hAnsi="Times New Roman" w:cs="Times New Roman"/>
        </w:rPr>
        <w:t xml:space="preserve"> relation to vulnerable, disadvantaged and underrepresented groups. Mechanisms for achieving these targets should not have negative financial consequences to higher education institutions core funding. </w:t>
      </w:r>
    </w:p>
    <w:p w14:paraId="62D440BF" w14:textId="77777777" w:rsidR="00152FC0" w:rsidRPr="00A47E07" w:rsidRDefault="0080179B">
      <w:pPr>
        <w:numPr>
          <w:ilvl w:val="1"/>
          <w:numId w:val="15"/>
        </w:numPr>
        <w:jc w:val="both"/>
        <w:rPr>
          <w:rFonts w:ascii="Times New Roman" w:eastAsia="Times New Roman" w:hAnsi="Times New Roman" w:cs="Times New Roman"/>
        </w:rPr>
      </w:pPr>
      <w:r w:rsidRPr="00732684">
        <w:rPr>
          <w:rFonts w:ascii="Times New Roman" w:eastAsia="Times New Roman" w:hAnsi="Times New Roman" w:cs="Times New Roman"/>
        </w:rPr>
        <w:t xml:space="preserve">Financial support systems should aim to be universally applicable to all students, however, when this is not possible, the public student financial support systems should be primarily needs-based and should make higher education affordable for all students, foster access to and provide opportunities for success in higher education. They should mainly contribute to cover both the direct costs of study (fees and study materials) and </w:t>
      </w:r>
      <w:r w:rsidRPr="00732684">
        <w:rPr>
          <w:rFonts w:ascii="Times New Roman" w:eastAsia="Times New Roman" w:hAnsi="Times New Roman" w:cs="Times New Roman"/>
        </w:rPr>
        <w:lastRenderedPageBreak/>
        <w:t>the indirect costs (e.g</w:t>
      </w:r>
      <w:r w:rsidRPr="00A47E07">
        <w:rPr>
          <w:rFonts w:ascii="Times New Roman" w:eastAsia="Times New Roman" w:hAnsi="Times New Roman" w:cs="Times New Roman"/>
        </w:rPr>
        <w:t>. accommodation, which is becoming increasingly problematic for students across the EHEA due to the increased housing, living, and transportation costs, etc.). </w:t>
      </w:r>
    </w:p>
    <w:p w14:paraId="03C4C452" w14:textId="77777777" w:rsidR="00152FC0" w:rsidRDefault="00152FC0">
      <w:pPr>
        <w:jc w:val="both"/>
        <w:rPr>
          <w:rFonts w:ascii="Times New Roman" w:eastAsia="Times New Roman" w:hAnsi="Times New Roman" w:cs="Times New Roman"/>
          <w:sz w:val="24"/>
          <w:szCs w:val="24"/>
        </w:rPr>
      </w:pPr>
    </w:p>
    <w:tbl>
      <w:tblPr>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FA69C8" w:rsidRPr="00A81BCF" w14:paraId="68230C15" w14:textId="77777777" w:rsidTr="007273CD">
        <w:tc>
          <w:tcPr>
            <w:tcW w:w="9020" w:type="dxa"/>
            <w:shd w:val="clear" w:color="auto" w:fill="auto"/>
            <w:tcMar>
              <w:top w:w="100" w:type="dxa"/>
              <w:left w:w="100" w:type="dxa"/>
              <w:bottom w:w="100" w:type="dxa"/>
              <w:right w:w="100" w:type="dxa"/>
            </w:tcMar>
          </w:tcPr>
          <w:p w14:paraId="568930D4" w14:textId="77777777" w:rsidR="00FA69C8" w:rsidRPr="00A81BCF" w:rsidRDefault="00FA69C8" w:rsidP="007273CD">
            <w:pPr>
              <w:widowControl w:val="0"/>
              <w:pBdr>
                <w:top w:val="nil"/>
                <w:left w:val="nil"/>
                <w:bottom w:val="nil"/>
                <w:right w:val="nil"/>
                <w:between w:val="nil"/>
              </w:pBdr>
              <w:rPr>
                <w:rFonts w:ascii="Times New Roman" w:eastAsia="Times New Roman" w:hAnsi="Times New Roman" w:cs="Times New Roman"/>
                <w:b/>
                <w:lang w:val="en-GB"/>
              </w:rPr>
            </w:pPr>
            <w:r w:rsidRPr="00A81BCF">
              <w:rPr>
                <w:rFonts w:ascii="Times New Roman" w:eastAsia="Times New Roman" w:hAnsi="Times New Roman" w:cs="Times New Roman"/>
                <w:b/>
                <w:lang w:val="en-GB"/>
              </w:rPr>
              <w:t>Indicators</w:t>
            </w:r>
          </w:p>
        </w:tc>
      </w:tr>
      <w:tr w:rsidR="00FA69C8" w:rsidRPr="00A81BCF" w14:paraId="1B8E6BD7" w14:textId="77777777" w:rsidTr="007273CD">
        <w:tc>
          <w:tcPr>
            <w:tcW w:w="9020" w:type="dxa"/>
            <w:shd w:val="clear" w:color="auto" w:fill="auto"/>
            <w:tcMar>
              <w:top w:w="100" w:type="dxa"/>
              <w:left w:w="100" w:type="dxa"/>
              <w:bottom w:w="100" w:type="dxa"/>
              <w:right w:w="100" w:type="dxa"/>
            </w:tcMar>
          </w:tcPr>
          <w:p w14:paraId="23935E04" w14:textId="68E2FC76" w:rsidR="00FA69C8" w:rsidRPr="00A81BCF" w:rsidRDefault="00FA69C8" w:rsidP="007273CD">
            <w:pPr>
              <w:widowControl w:val="0"/>
              <w:jc w:val="both"/>
              <w:rPr>
                <w:rFonts w:ascii="Times New Roman" w:eastAsia="Times New Roman" w:hAnsi="Times New Roman" w:cs="Times New Roman"/>
                <w:b/>
                <w:bCs/>
                <w:lang w:val="en-GB"/>
              </w:rPr>
            </w:pPr>
            <w:r w:rsidRPr="00A81BCF">
              <w:rPr>
                <w:rFonts w:ascii="Times New Roman" w:eastAsia="Times New Roman" w:hAnsi="Times New Roman" w:cs="Times New Roman"/>
                <w:b/>
                <w:bCs/>
                <w:lang w:val="en-GB"/>
              </w:rPr>
              <w:t xml:space="preserve">1. Public funding is attributed to higher education institutions that meet targets in widening access, increasing participation or completing higher education, in particular in relation to </w:t>
            </w:r>
            <w:r w:rsidR="002F3219" w:rsidRPr="00A81BCF">
              <w:rPr>
                <w:rFonts w:ascii="Times New Roman" w:eastAsia="Times New Roman" w:hAnsi="Times New Roman" w:cs="Times New Roman"/>
                <w:b/>
                <w:bCs/>
                <w:lang w:val="en-GB"/>
              </w:rPr>
              <w:t xml:space="preserve">underrepresented, disadvantaged and vulnerable </w:t>
            </w:r>
            <w:r w:rsidRPr="00A81BCF">
              <w:rPr>
                <w:rFonts w:ascii="Times New Roman" w:eastAsia="Times New Roman" w:hAnsi="Times New Roman" w:cs="Times New Roman"/>
                <w:b/>
                <w:bCs/>
                <w:lang w:val="en-GB"/>
              </w:rPr>
              <w:t>groups (Eurydice, 2022).</w:t>
            </w:r>
          </w:p>
          <w:p w14:paraId="678A97DE" w14:textId="2ED26C4C" w:rsidR="00FA69C8" w:rsidRPr="00C344DB" w:rsidRDefault="00FA69C8">
            <w:pPr>
              <w:pStyle w:val="ListParagraph"/>
              <w:widowControl w:val="0"/>
              <w:numPr>
                <w:ilvl w:val="0"/>
                <w:numId w:val="28"/>
              </w:numPr>
              <w:jc w:val="both"/>
              <w:rPr>
                <w:rFonts w:ascii="Times New Roman" w:eastAsia="Times New Roman" w:hAnsi="Times New Roman" w:cs="Times New Roman"/>
                <w:sz w:val="22"/>
                <w:szCs w:val="22"/>
              </w:rPr>
            </w:pPr>
            <w:r w:rsidRPr="00C344DB">
              <w:rPr>
                <w:rFonts w:ascii="Times New Roman" w:eastAsia="Times New Roman" w:hAnsi="Times New Roman" w:cs="Times New Roman"/>
                <w:sz w:val="22"/>
                <w:szCs w:val="22"/>
              </w:rPr>
              <w:t>Local/regional</w:t>
            </w:r>
            <w:r w:rsidR="00E94999">
              <w:rPr>
                <w:rFonts w:ascii="Times New Roman" w:eastAsia="Times New Roman" w:hAnsi="Times New Roman" w:cs="Times New Roman"/>
                <w:sz w:val="22"/>
                <w:szCs w:val="22"/>
              </w:rPr>
              <w:t xml:space="preserve"> context of </w:t>
            </w:r>
            <w:r w:rsidR="00EE1BE1">
              <w:rPr>
                <w:rFonts w:ascii="Times New Roman" w:eastAsia="Times New Roman" w:hAnsi="Times New Roman" w:cs="Times New Roman"/>
                <w:sz w:val="22"/>
                <w:szCs w:val="22"/>
              </w:rPr>
              <w:t>higher education institution</w:t>
            </w:r>
            <w:r w:rsidR="00E94999">
              <w:rPr>
                <w:rFonts w:ascii="Times New Roman" w:eastAsia="Times New Roman" w:hAnsi="Times New Roman" w:cs="Times New Roman"/>
                <w:sz w:val="22"/>
                <w:szCs w:val="22"/>
              </w:rPr>
              <w:t xml:space="preserve"> and the </w:t>
            </w:r>
            <w:r w:rsidRPr="00C344DB">
              <w:rPr>
                <w:rFonts w:ascii="Times New Roman" w:eastAsia="Times New Roman" w:hAnsi="Times New Roman" w:cs="Times New Roman"/>
                <w:sz w:val="22"/>
                <w:szCs w:val="22"/>
              </w:rPr>
              <w:t xml:space="preserve">socio-economic context of </w:t>
            </w:r>
            <w:r w:rsidR="00C344DB" w:rsidRPr="00C344DB">
              <w:rPr>
                <w:rFonts w:ascii="Times New Roman" w:eastAsia="Times New Roman" w:hAnsi="Times New Roman" w:cs="Times New Roman"/>
                <w:sz w:val="22"/>
                <w:szCs w:val="22"/>
              </w:rPr>
              <w:t>students and staff</w:t>
            </w:r>
            <w:r w:rsidRPr="00C344DB">
              <w:rPr>
                <w:rFonts w:ascii="Times New Roman" w:eastAsia="Times New Roman" w:hAnsi="Times New Roman" w:cs="Times New Roman"/>
                <w:sz w:val="22"/>
                <w:szCs w:val="22"/>
              </w:rPr>
              <w:t xml:space="preserve"> is considered for determining the amount of public funding that higher education institutions receive</w:t>
            </w:r>
            <w:r w:rsidR="00C61952" w:rsidRPr="00C344DB">
              <w:rPr>
                <w:rFonts w:ascii="Times New Roman" w:eastAsia="Times New Roman" w:hAnsi="Times New Roman" w:cs="Times New Roman"/>
                <w:sz w:val="22"/>
                <w:szCs w:val="22"/>
              </w:rPr>
              <w:t xml:space="preserve"> to support </w:t>
            </w:r>
            <w:r w:rsidR="002F3219" w:rsidRPr="00C344DB">
              <w:rPr>
                <w:rFonts w:ascii="Times New Roman" w:eastAsia="Times New Roman" w:hAnsi="Times New Roman" w:cs="Times New Roman"/>
                <w:sz w:val="22"/>
                <w:szCs w:val="22"/>
              </w:rPr>
              <w:t>underrepresented, disadvantaged and vulnerable</w:t>
            </w:r>
            <w:r w:rsidR="002F3219" w:rsidRPr="00C344DB">
              <w:rPr>
                <w:rFonts w:ascii="Times New Roman" w:eastAsia="Times New Roman" w:hAnsi="Times New Roman" w:cs="Times New Roman"/>
                <w:b/>
                <w:bCs/>
                <w:sz w:val="22"/>
                <w:szCs w:val="22"/>
              </w:rPr>
              <w:t xml:space="preserve"> </w:t>
            </w:r>
            <w:r w:rsidR="00C61952" w:rsidRPr="00C344DB">
              <w:rPr>
                <w:rFonts w:ascii="Times New Roman" w:eastAsia="Times New Roman" w:hAnsi="Times New Roman" w:cs="Times New Roman"/>
                <w:sz w:val="22"/>
                <w:szCs w:val="22"/>
              </w:rPr>
              <w:t>groups.</w:t>
            </w:r>
          </w:p>
          <w:p w14:paraId="4AF10660" w14:textId="77777777" w:rsidR="00FA69C8" w:rsidRPr="00A81BCF" w:rsidRDefault="00FA69C8" w:rsidP="007273CD">
            <w:pPr>
              <w:pStyle w:val="ListParagraph"/>
              <w:widowControl w:val="0"/>
              <w:jc w:val="both"/>
              <w:rPr>
                <w:rFonts w:ascii="Times New Roman" w:eastAsia="Times New Roman" w:hAnsi="Times New Roman" w:cs="Times New Roman"/>
                <w:sz w:val="22"/>
                <w:szCs w:val="22"/>
              </w:rPr>
            </w:pPr>
          </w:p>
        </w:tc>
      </w:tr>
      <w:tr w:rsidR="00FA69C8" w:rsidRPr="00A81BCF" w14:paraId="2A55ADA3" w14:textId="77777777" w:rsidTr="007273CD">
        <w:tc>
          <w:tcPr>
            <w:tcW w:w="9020" w:type="dxa"/>
            <w:shd w:val="clear" w:color="auto" w:fill="auto"/>
            <w:tcMar>
              <w:top w:w="100" w:type="dxa"/>
              <w:left w:w="100" w:type="dxa"/>
              <w:bottom w:w="100" w:type="dxa"/>
              <w:right w:w="100" w:type="dxa"/>
            </w:tcMar>
          </w:tcPr>
          <w:p w14:paraId="41CBDE36" w14:textId="2A13DD20" w:rsidR="00FA69C8" w:rsidRPr="00A81BCF" w:rsidRDefault="00FA69C8" w:rsidP="007273CD">
            <w:pPr>
              <w:widowControl w:val="0"/>
              <w:jc w:val="both"/>
              <w:rPr>
                <w:rFonts w:ascii="Times New Roman" w:eastAsia="Times New Roman" w:hAnsi="Times New Roman" w:cs="Times New Roman"/>
                <w:b/>
                <w:bCs/>
                <w:lang w:val="en-GB"/>
              </w:rPr>
            </w:pPr>
            <w:r w:rsidRPr="00A81BCF">
              <w:rPr>
                <w:rFonts w:ascii="Times New Roman" w:eastAsia="Times New Roman" w:hAnsi="Times New Roman" w:cs="Times New Roman"/>
                <w:b/>
                <w:bCs/>
                <w:lang w:val="en-GB"/>
              </w:rPr>
              <w:t xml:space="preserve">2. </w:t>
            </w:r>
            <w:r w:rsidR="00EE1BE1">
              <w:rPr>
                <w:rFonts w:ascii="Times New Roman" w:eastAsia="Times New Roman" w:hAnsi="Times New Roman" w:cs="Times New Roman"/>
                <w:b/>
                <w:bCs/>
                <w:lang w:val="en-GB"/>
              </w:rPr>
              <w:t>Public authority</w:t>
            </w:r>
            <w:r w:rsidR="003A2794">
              <w:rPr>
                <w:rFonts w:ascii="Times New Roman" w:eastAsia="Times New Roman" w:hAnsi="Times New Roman" w:cs="Times New Roman"/>
                <w:b/>
                <w:bCs/>
                <w:lang w:val="en-GB"/>
              </w:rPr>
              <w:t xml:space="preserve"> provides </w:t>
            </w:r>
            <w:r w:rsidRPr="00A81BCF">
              <w:rPr>
                <w:rFonts w:ascii="Times New Roman" w:eastAsia="Times New Roman" w:hAnsi="Times New Roman" w:cs="Times New Roman"/>
                <w:b/>
                <w:bCs/>
                <w:lang w:val="en-GB"/>
              </w:rPr>
              <w:t>universal or need-based grants for first cycle students that cover direct and indirect costs of study (Eurydice, 2022).</w:t>
            </w:r>
          </w:p>
          <w:p w14:paraId="04A2AE9B" w14:textId="6A8D71C4" w:rsidR="00AE7E2F" w:rsidRPr="00AE7E2F" w:rsidRDefault="00EE1BE1">
            <w:pPr>
              <w:pStyle w:val="ListParagraph"/>
              <w:widowControl w:val="0"/>
              <w:numPr>
                <w:ilvl w:val="0"/>
                <w:numId w:val="28"/>
              </w:numPr>
              <w:jc w:val="both"/>
              <w:rPr>
                <w:rFonts w:ascii="Times New Roman" w:eastAsia="Times New Roman" w:hAnsi="Times New Roman" w:cs="Times New Roman"/>
                <w:sz w:val="22"/>
                <w:szCs w:val="22"/>
              </w:rPr>
            </w:pPr>
            <w:r w:rsidRPr="00114B6D">
              <w:rPr>
                <w:rFonts w:ascii="Times New Roman" w:eastAsia="Times New Roman" w:hAnsi="Times New Roman" w:cs="Times New Roman"/>
                <w:bCs/>
                <w:sz w:val="22"/>
                <w:szCs w:val="22"/>
              </w:rPr>
              <w:t>Public authority</w:t>
            </w:r>
            <w:r w:rsidR="00E94999">
              <w:rPr>
                <w:rFonts w:ascii="Times New Roman" w:eastAsia="Times New Roman" w:hAnsi="Times New Roman" w:cs="Times New Roman"/>
                <w:sz w:val="22"/>
                <w:szCs w:val="22"/>
              </w:rPr>
              <w:t xml:space="preserve"> collects data on the s</w:t>
            </w:r>
            <w:r w:rsidR="00AE7E2F" w:rsidRPr="00AE7E2F">
              <w:rPr>
                <w:rFonts w:ascii="Times New Roman" w:eastAsia="Times New Roman" w:hAnsi="Times New Roman" w:cs="Times New Roman"/>
                <w:sz w:val="22"/>
                <w:szCs w:val="22"/>
              </w:rPr>
              <w:t xml:space="preserve">hare of first cycle students that receive </w:t>
            </w:r>
            <w:r w:rsidR="00C82A47">
              <w:rPr>
                <w:rFonts w:ascii="Times New Roman" w:eastAsia="Times New Roman" w:hAnsi="Times New Roman" w:cs="Times New Roman"/>
                <w:sz w:val="22"/>
                <w:szCs w:val="22"/>
              </w:rPr>
              <w:t xml:space="preserve">universal or </w:t>
            </w:r>
            <w:r w:rsidR="00AE7E2F" w:rsidRPr="00AE7E2F">
              <w:rPr>
                <w:rFonts w:ascii="Times New Roman" w:eastAsia="Times New Roman" w:hAnsi="Times New Roman" w:cs="Times New Roman"/>
                <w:sz w:val="22"/>
                <w:szCs w:val="22"/>
              </w:rPr>
              <w:t>need-based grants for covering direct and indirect costs of study.</w:t>
            </w:r>
          </w:p>
          <w:p w14:paraId="4518A5EB" w14:textId="15B03250" w:rsidR="00FA69C8" w:rsidRPr="003A2794" w:rsidRDefault="00FA69C8">
            <w:pPr>
              <w:pStyle w:val="ListParagraph"/>
              <w:widowControl w:val="0"/>
              <w:numPr>
                <w:ilvl w:val="0"/>
                <w:numId w:val="28"/>
              </w:numPr>
              <w:jc w:val="both"/>
              <w:rPr>
                <w:rFonts w:ascii="Times New Roman" w:eastAsia="Times New Roman" w:hAnsi="Times New Roman" w:cs="Times New Roman"/>
                <w:b/>
                <w:bCs/>
                <w:sz w:val="22"/>
                <w:szCs w:val="22"/>
              </w:rPr>
            </w:pPr>
            <w:r w:rsidRPr="00A81BCF">
              <w:rPr>
                <w:rFonts w:ascii="Times New Roman" w:eastAsia="Times New Roman" w:hAnsi="Times New Roman" w:cs="Times New Roman"/>
                <w:sz w:val="22"/>
                <w:szCs w:val="22"/>
              </w:rPr>
              <w:t xml:space="preserve">Existence of a mechanism that uses a student’s </w:t>
            </w:r>
            <w:r w:rsidR="00E94999">
              <w:rPr>
                <w:rFonts w:ascii="Times New Roman" w:eastAsia="Times New Roman" w:hAnsi="Times New Roman" w:cs="Times New Roman"/>
                <w:sz w:val="22"/>
                <w:szCs w:val="22"/>
              </w:rPr>
              <w:t>local socio-economic context</w:t>
            </w:r>
            <w:r w:rsidRPr="00A81BCF">
              <w:rPr>
                <w:rFonts w:ascii="Times New Roman" w:eastAsia="Times New Roman" w:hAnsi="Times New Roman" w:cs="Times New Roman"/>
                <w:sz w:val="22"/>
                <w:szCs w:val="22"/>
              </w:rPr>
              <w:t xml:space="preserve"> as a criterion for deciding on the type and amount of the student financial support.</w:t>
            </w:r>
          </w:p>
          <w:p w14:paraId="6BE20A0A" w14:textId="77777777" w:rsidR="00F3687F" w:rsidRPr="00AE7E2F" w:rsidRDefault="003A2794" w:rsidP="00F3687F">
            <w:pPr>
              <w:pStyle w:val="ListParagraph"/>
              <w:widowControl w:val="0"/>
              <w:numPr>
                <w:ilvl w:val="0"/>
                <w:numId w:val="2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from both full-time and part-time study programmes have access to </w:t>
            </w:r>
            <w:r w:rsidR="00F3687F">
              <w:rPr>
                <w:rFonts w:ascii="Times New Roman" w:eastAsia="Times New Roman" w:hAnsi="Times New Roman" w:cs="Times New Roman"/>
                <w:sz w:val="22"/>
                <w:szCs w:val="22"/>
              </w:rPr>
              <w:t xml:space="preserve">universal or </w:t>
            </w:r>
            <w:r w:rsidR="00F3687F" w:rsidRPr="00AE7E2F">
              <w:rPr>
                <w:rFonts w:ascii="Times New Roman" w:eastAsia="Times New Roman" w:hAnsi="Times New Roman" w:cs="Times New Roman"/>
                <w:sz w:val="22"/>
                <w:szCs w:val="22"/>
              </w:rPr>
              <w:t>need-based grants for covering direct and indirect costs of study.</w:t>
            </w:r>
          </w:p>
          <w:p w14:paraId="5DA1FC37" w14:textId="59A8165F" w:rsidR="00FA69C8" w:rsidRPr="003A2794" w:rsidRDefault="00FA69C8" w:rsidP="003A2794">
            <w:pPr>
              <w:pStyle w:val="ListParagraph"/>
              <w:widowControl w:val="0"/>
              <w:jc w:val="both"/>
              <w:rPr>
                <w:rFonts w:ascii="Times New Roman" w:eastAsia="Times New Roman" w:hAnsi="Times New Roman" w:cs="Times New Roman"/>
                <w:b/>
                <w:bCs/>
                <w:sz w:val="22"/>
                <w:szCs w:val="22"/>
              </w:rPr>
            </w:pPr>
          </w:p>
        </w:tc>
      </w:tr>
      <w:tr w:rsidR="00FA69C8" w:rsidRPr="00A81BCF" w14:paraId="1FF88944" w14:textId="77777777" w:rsidTr="007273CD">
        <w:tc>
          <w:tcPr>
            <w:tcW w:w="9020" w:type="dxa"/>
            <w:shd w:val="clear" w:color="auto" w:fill="auto"/>
            <w:tcMar>
              <w:top w:w="100" w:type="dxa"/>
              <w:left w:w="100" w:type="dxa"/>
              <w:bottom w:w="100" w:type="dxa"/>
              <w:right w:w="100" w:type="dxa"/>
            </w:tcMar>
          </w:tcPr>
          <w:p w14:paraId="33F31005" w14:textId="0A025317" w:rsidR="00FA69C8" w:rsidRPr="00A81BCF" w:rsidRDefault="00FA69C8" w:rsidP="007273CD">
            <w:pPr>
              <w:widowControl w:val="0"/>
              <w:pBdr>
                <w:top w:val="nil"/>
                <w:left w:val="nil"/>
                <w:bottom w:val="nil"/>
                <w:right w:val="nil"/>
                <w:between w:val="nil"/>
              </w:pBdr>
              <w:rPr>
                <w:rFonts w:ascii="Times New Roman" w:eastAsia="Times New Roman" w:hAnsi="Times New Roman" w:cs="Times New Roman"/>
                <w:b/>
                <w:bCs/>
                <w:lang w:val="en-GB"/>
              </w:rPr>
            </w:pPr>
            <w:r w:rsidRPr="00A81BCF">
              <w:rPr>
                <w:rFonts w:ascii="Times New Roman" w:eastAsia="Times New Roman" w:hAnsi="Times New Roman" w:cs="Times New Roman"/>
                <w:b/>
                <w:bCs/>
                <w:lang w:val="en-GB"/>
              </w:rPr>
              <w:t xml:space="preserve">3. </w:t>
            </w:r>
            <w:r w:rsidR="00EE1BE1">
              <w:rPr>
                <w:rFonts w:ascii="Times New Roman" w:eastAsia="Times New Roman" w:hAnsi="Times New Roman" w:cs="Times New Roman"/>
                <w:b/>
                <w:bCs/>
                <w:lang w:val="en-GB"/>
              </w:rPr>
              <w:t>Public authority</w:t>
            </w:r>
            <w:r w:rsidR="003A2794">
              <w:rPr>
                <w:rFonts w:ascii="Times New Roman" w:eastAsia="Times New Roman" w:hAnsi="Times New Roman" w:cs="Times New Roman"/>
                <w:b/>
                <w:bCs/>
                <w:lang w:val="en-GB"/>
              </w:rPr>
              <w:t xml:space="preserve"> provides </w:t>
            </w:r>
            <w:r w:rsidRPr="00A81BCF">
              <w:rPr>
                <w:rFonts w:ascii="Times New Roman" w:eastAsia="Times New Roman" w:hAnsi="Times New Roman" w:cs="Times New Roman"/>
                <w:b/>
                <w:bCs/>
                <w:lang w:val="en-GB"/>
              </w:rPr>
              <w:t>top-level student financial support for indirect costs of study</w:t>
            </w:r>
            <w:r w:rsidR="00EC7685">
              <w:rPr>
                <w:rFonts w:ascii="Times New Roman" w:eastAsia="Times New Roman" w:hAnsi="Times New Roman" w:cs="Times New Roman"/>
                <w:b/>
                <w:bCs/>
                <w:lang w:val="en-GB"/>
              </w:rPr>
              <w:t>.</w:t>
            </w:r>
          </w:p>
          <w:p w14:paraId="39B04F92" w14:textId="09129809" w:rsidR="00AE7E2F" w:rsidRDefault="00AE7E2F">
            <w:pPr>
              <w:numPr>
                <w:ilvl w:val="0"/>
                <w:numId w:val="27"/>
              </w:numPr>
              <w:jc w:val="both"/>
              <w:rPr>
                <w:rFonts w:ascii="Times New Roman" w:eastAsia="Times New Roman" w:hAnsi="Times New Roman" w:cs="Times New Roman"/>
                <w:lang w:val="en-GB"/>
              </w:rPr>
            </w:pPr>
            <w:r>
              <w:rPr>
                <w:rFonts w:ascii="Times New Roman" w:eastAsia="Times New Roman" w:hAnsi="Times New Roman" w:cs="Times New Roman"/>
                <w:lang w:val="en-GB"/>
              </w:rPr>
              <w:t>E</w:t>
            </w:r>
            <w:r w:rsidRPr="00AE7E2F">
              <w:rPr>
                <w:rFonts w:ascii="Times New Roman" w:eastAsia="Times New Roman" w:hAnsi="Times New Roman" w:cs="Times New Roman"/>
                <w:lang w:val="en-GB"/>
              </w:rPr>
              <w:t xml:space="preserve">xistence of a top-level policy regarding raising accessibility and affordability of </w:t>
            </w:r>
            <w:r>
              <w:rPr>
                <w:rFonts w:ascii="Times New Roman" w:eastAsia="Times New Roman" w:hAnsi="Times New Roman" w:cs="Times New Roman"/>
                <w:lang w:val="en-GB"/>
              </w:rPr>
              <w:t>study through</w:t>
            </w:r>
            <w:r w:rsidRPr="00AE7E2F">
              <w:rPr>
                <w:rFonts w:ascii="Times New Roman" w:eastAsia="Times New Roman" w:hAnsi="Times New Roman" w:cs="Times New Roman"/>
                <w:lang w:val="en-GB"/>
              </w:rPr>
              <w:t xml:space="preserve"> covering indirect costs.</w:t>
            </w:r>
          </w:p>
          <w:p w14:paraId="029CA05C" w14:textId="34040683" w:rsidR="00FA69C8" w:rsidRDefault="00EE1BE1">
            <w:pPr>
              <w:numPr>
                <w:ilvl w:val="0"/>
                <w:numId w:val="27"/>
              </w:numPr>
              <w:jc w:val="both"/>
              <w:rPr>
                <w:rFonts w:ascii="Times New Roman" w:eastAsia="Times New Roman" w:hAnsi="Times New Roman" w:cs="Times New Roman"/>
                <w:lang w:val="en-GB"/>
              </w:rPr>
            </w:pPr>
            <w:r w:rsidRPr="00114B6D">
              <w:rPr>
                <w:rFonts w:ascii="Times New Roman" w:eastAsia="Times New Roman" w:hAnsi="Times New Roman" w:cs="Times New Roman"/>
                <w:bCs/>
              </w:rPr>
              <w:t>Public authority</w:t>
            </w:r>
            <w:r w:rsidR="00E94999">
              <w:rPr>
                <w:rFonts w:ascii="Times New Roman" w:eastAsia="Times New Roman" w:hAnsi="Times New Roman" w:cs="Times New Roman"/>
                <w:lang w:val="en-GB"/>
              </w:rPr>
              <w:t xml:space="preserve"> collects data on t</w:t>
            </w:r>
            <w:r w:rsidR="00FA69C8" w:rsidRPr="00A81BCF">
              <w:rPr>
                <w:rFonts w:ascii="Times New Roman" w:eastAsia="Times New Roman" w:hAnsi="Times New Roman" w:cs="Times New Roman"/>
                <w:lang w:val="en-GB"/>
              </w:rPr>
              <w:t>he number/share of short, first, second and third cycle students that receive student financial support to cover accommodation, transport</w:t>
            </w:r>
            <w:r>
              <w:rPr>
                <w:rFonts w:ascii="Times New Roman" w:eastAsia="Times New Roman" w:hAnsi="Times New Roman" w:cs="Times New Roman"/>
                <w:lang w:val="en-GB"/>
              </w:rPr>
              <w:t xml:space="preserve">, </w:t>
            </w:r>
            <w:r w:rsidR="00FA69C8" w:rsidRPr="00A81BCF">
              <w:rPr>
                <w:rFonts w:ascii="Times New Roman" w:eastAsia="Times New Roman" w:hAnsi="Times New Roman" w:cs="Times New Roman"/>
                <w:lang w:val="en-GB"/>
              </w:rPr>
              <w:t>meals</w:t>
            </w:r>
            <w:r>
              <w:rPr>
                <w:rFonts w:ascii="Times New Roman" w:eastAsia="Times New Roman" w:hAnsi="Times New Roman" w:cs="Times New Roman"/>
                <w:lang w:val="en-GB"/>
              </w:rPr>
              <w:t xml:space="preserve"> and IT equipment due to digitization of higher education</w:t>
            </w:r>
            <w:r w:rsidR="0045423B">
              <w:rPr>
                <w:rFonts w:ascii="Times New Roman" w:eastAsia="Times New Roman" w:hAnsi="Times New Roman" w:cs="Times New Roman"/>
                <w:lang w:val="en-GB"/>
              </w:rPr>
              <w:t>.</w:t>
            </w:r>
          </w:p>
          <w:p w14:paraId="0EBA6670" w14:textId="65F8CF77" w:rsidR="003A2794" w:rsidRPr="00A81BCF" w:rsidRDefault="003A2794">
            <w:pPr>
              <w:numPr>
                <w:ilvl w:val="0"/>
                <w:numId w:val="27"/>
              </w:numPr>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Students from both full-time and part-time study programmes have access to student </w:t>
            </w:r>
            <w:r w:rsidR="000C4211">
              <w:rPr>
                <w:rFonts w:ascii="Times New Roman" w:eastAsia="Times New Roman" w:hAnsi="Times New Roman" w:cs="Times New Roman"/>
                <w:lang w:val="en-GB"/>
              </w:rPr>
              <w:t xml:space="preserve">financial </w:t>
            </w:r>
            <w:r>
              <w:rPr>
                <w:rFonts w:ascii="Times New Roman" w:eastAsia="Times New Roman" w:hAnsi="Times New Roman" w:cs="Times New Roman"/>
                <w:lang w:val="en-GB"/>
              </w:rPr>
              <w:t xml:space="preserve">support </w:t>
            </w:r>
            <w:r w:rsidR="000C4211">
              <w:rPr>
                <w:rFonts w:ascii="Times New Roman" w:eastAsia="Times New Roman" w:hAnsi="Times New Roman" w:cs="Times New Roman"/>
                <w:lang w:val="en-GB"/>
              </w:rPr>
              <w:t>for indirect costs of study</w:t>
            </w:r>
            <w:r>
              <w:rPr>
                <w:rFonts w:ascii="Times New Roman" w:eastAsia="Times New Roman" w:hAnsi="Times New Roman" w:cs="Times New Roman"/>
                <w:lang w:val="en-GB"/>
              </w:rPr>
              <w:t xml:space="preserve">. </w:t>
            </w:r>
          </w:p>
        </w:tc>
      </w:tr>
      <w:tr w:rsidR="00FA69C8" w:rsidRPr="00A81BCF" w14:paraId="5302FBFD" w14:textId="77777777" w:rsidTr="007273CD">
        <w:tc>
          <w:tcPr>
            <w:tcW w:w="9020" w:type="dxa"/>
            <w:shd w:val="clear" w:color="auto" w:fill="auto"/>
            <w:tcMar>
              <w:top w:w="100" w:type="dxa"/>
              <w:left w:w="100" w:type="dxa"/>
              <w:bottom w:w="100" w:type="dxa"/>
              <w:right w:w="100" w:type="dxa"/>
            </w:tcMar>
          </w:tcPr>
          <w:p w14:paraId="1CB6C07C" w14:textId="5E2EA25C" w:rsidR="00FA69C8" w:rsidRPr="00A81BCF" w:rsidRDefault="00FA69C8" w:rsidP="007273CD">
            <w:pPr>
              <w:widowControl w:val="0"/>
              <w:pBdr>
                <w:top w:val="nil"/>
                <w:left w:val="nil"/>
                <w:bottom w:val="nil"/>
                <w:right w:val="nil"/>
                <w:between w:val="nil"/>
              </w:pBdr>
              <w:rPr>
                <w:rFonts w:ascii="Times New Roman" w:eastAsia="Times New Roman" w:hAnsi="Times New Roman" w:cs="Times New Roman"/>
                <w:b/>
                <w:bCs/>
                <w:lang w:val="en-GB"/>
              </w:rPr>
            </w:pPr>
            <w:r w:rsidRPr="00A81BCF">
              <w:rPr>
                <w:rFonts w:ascii="Times New Roman" w:eastAsia="Times New Roman" w:hAnsi="Times New Roman" w:cs="Times New Roman"/>
                <w:b/>
                <w:bCs/>
                <w:lang w:val="en-GB"/>
              </w:rPr>
              <w:t xml:space="preserve">4. </w:t>
            </w:r>
            <w:r w:rsidR="00EE1BE1">
              <w:rPr>
                <w:rFonts w:ascii="Times New Roman" w:eastAsia="Times New Roman" w:hAnsi="Times New Roman" w:cs="Times New Roman"/>
                <w:b/>
                <w:bCs/>
                <w:lang w:val="en-GB"/>
              </w:rPr>
              <w:t>Public authority</w:t>
            </w:r>
            <w:r w:rsidRPr="00A81BCF">
              <w:rPr>
                <w:rFonts w:ascii="Times New Roman" w:eastAsia="Times New Roman" w:hAnsi="Times New Roman" w:cs="Times New Roman"/>
                <w:b/>
                <w:bCs/>
                <w:lang w:val="en-GB"/>
              </w:rPr>
              <w:t xml:space="preserve"> provides information</w:t>
            </w:r>
            <w:r w:rsidR="00FF6FDC">
              <w:rPr>
                <w:rFonts w:ascii="Times New Roman" w:eastAsia="Times New Roman" w:hAnsi="Times New Roman" w:cs="Times New Roman"/>
                <w:b/>
                <w:bCs/>
                <w:lang w:val="en-GB"/>
              </w:rPr>
              <w:t>, assistance</w:t>
            </w:r>
            <w:r w:rsidRPr="00A81BCF">
              <w:rPr>
                <w:rFonts w:ascii="Times New Roman" w:eastAsia="Times New Roman" w:hAnsi="Times New Roman" w:cs="Times New Roman"/>
                <w:b/>
                <w:bCs/>
                <w:lang w:val="en-GB"/>
              </w:rPr>
              <w:t xml:space="preserve"> and communicates effectively on available student financial support to all students, in particular to underrepresented, disadvantaged and vulnerable groups of students. </w:t>
            </w:r>
          </w:p>
          <w:p w14:paraId="2A03132A" w14:textId="77777777" w:rsidR="00FA69C8" w:rsidRPr="00A81BCF" w:rsidRDefault="00FA69C8" w:rsidP="007273CD">
            <w:pPr>
              <w:widowControl w:val="0"/>
              <w:pBdr>
                <w:top w:val="nil"/>
                <w:left w:val="nil"/>
                <w:bottom w:val="nil"/>
                <w:right w:val="nil"/>
                <w:between w:val="nil"/>
              </w:pBdr>
              <w:rPr>
                <w:rFonts w:ascii="Times New Roman" w:eastAsia="Times New Roman" w:hAnsi="Times New Roman" w:cs="Times New Roman"/>
                <w:b/>
                <w:bCs/>
                <w:color w:val="CC4125"/>
                <w:lang w:val="en-GB"/>
              </w:rPr>
            </w:pPr>
          </w:p>
        </w:tc>
      </w:tr>
    </w:tbl>
    <w:p w14:paraId="08883452" w14:textId="6C4BE143" w:rsidR="009B3206" w:rsidRDefault="009B3206">
      <w:pPr>
        <w:rPr>
          <w:rFonts w:ascii="Times New Roman" w:eastAsia="Times New Roman" w:hAnsi="Times New Roman" w:cs="Times New Roman"/>
          <w:sz w:val="24"/>
          <w:szCs w:val="24"/>
        </w:rPr>
      </w:pPr>
    </w:p>
    <w:p w14:paraId="360DBF60" w14:textId="77777777" w:rsidR="009B3206" w:rsidRDefault="009B3206">
      <w:pPr>
        <w:rPr>
          <w:rFonts w:ascii="Times New Roman" w:eastAsia="Times New Roman" w:hAnsi="Times New Roman" w:cs="Times New Roman"/>
          <w:sz w:val="24"/>
          <w:szCs w:val="24"/>
        </w:rPr>
      </w:pPr>
    </w:p>
    <w:p w14:paraId="1C24FFF6" w14:textId="77777777" w:rsidR="00152FC0" w:rsidRDefault="0080179B">
      <w:pPr>
        <w:numPr>
          <w:ilvl w:val="0"/>
          <w:numId w:val="7"/>
        </w:numPr>
        <w:pBdr>
          <w:top w:val="single" w:sz="4" w:space="1" w:color="000000"/>
          <w:left w:val="single" w:sz="4" w:space="4" w:color="000000"/>
          <w:bottom w:val="single" w:sz="4" w:space="1" w:color="000000"/>
          <w:right w:val="single" w:sz="4" w:space="4" w:color="000000"/>
          <w:between w:val="nil"/>
        </w:pBdr>
        <w:shd w:val="clear" w:color="auto" w:fill="5B9BD5" w:themeFill="accent5"/>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authorities should help higher education institutions to strengthen their capacity in responding to the needs of a more diverse student and staff body and create inclusive learning environments and inclusive institutional cultures. </w:t>
      </w:r>
    </w:p>
    <w:p w14:paraId="527C4347" w14:textId="77777777" w:rsidR="00152FC0" w:rsidRDefault="00152FC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42DDC81" w14:textId="77777777" w:rsidR="00152FC0" w:rsidRPr="00A47E07" w:rsidRDefault="0080179B">
      <w:pPr>
        <w:pBdr>
          <w:top w:val="nil"/>
          <w:left w:val="nil"/>
          <w:bottom w:val="nil"/>
          <w:right w:val="nil"/>
          <w:between w:val="nil"/>
        </w:pBdr>
        <w:ind w:left="720"/>
        <w:jc w:val="both"/>
        <w:rPr>
          <w:rFonts w:ascii="Times New Roman" w:eastAsia="Times New Roman" w:hAnsi="Times New Roman" w:cs="Times New Roman"/>
          <w:b/>
          <w:color w:val="000000"/>
        </w:rPr>
      </w:pPr>
      <w:r w:rsidRPr="00A47E07">
        <w:rPr>
          <w:rFonts w:ascii="Times New Roman" w:eastAsia="Times New Roman" w:hAnsi="Times New Roman" w:cs="Times New Roman"/>
          <w:b/>
          <w:color w:val="000000"/>
        </w:rPr>
        <w:t>Guidelines:</w:t>
      </w:r>
    </w:p>
    <w:p w14:paraId="6E70EEF1" w14:textId="77777777" w:rsidR="00152FC0" w:rsidRPr="00C52E1C" w:rsidRDefault="0080179B">
      <w:pPr>
        <w:numPr>
          <w:ilvl w:val="0"/>
          <w:numId w:val="19"/>
        </w:numPr>
        <w:pBdr>
          <w:top w:val="nil"/>
          <w:left w:val="nil"/>
          <w:bottom w:val="nil"/>
          <w:right w:val="nil"/>
          <w:between w:val="nil"/>
        </w:pBdr>
        <w:jc w:val="both"/>
        <w:rPr>
          <w:rFonts w:ascii="Times New Roman" w:eastAsia="Times New Roman" w:hAnsi="Times New Roman" w:cs="Times New Roman"/>
          <w:color w:val="000000"/>
        </w:rPr>
      </w:pPr>
      <w:r w:rsidRPr="00C52E1C">
        <w:rPr>
          <w:rFonts w:ascii="Times New Roman" w:eastAsia="Times New Roman" w:hAnsi="Times New Roman" w:cs="Times New Roman"/>
          <w:color w:val="000000"/>
        </w:rPr>
        <w:t>Public authorities should support and provide adequate means to higher education institutions to improve initial and continuing professional training for academic and administrative staff to enable them to work professionally and equitably with a diverse student body and staff.</w:t>
      </w:r>
    </w:p>
    <w:p w14:paraId="7D8B8896" w14:textId="77777777" w:rsidR="00152FC0" w:rsidRPr="00C52E1C" w:rsidRDefault="0080179B">
      <w:pPr>
        <w:numPr>
          <w:ilvl w:val="0"/>
          <w:numId w:val="19"/>
        </w:numPr>
        <w:pBdr>
          <w:top w:val="nil"/>
          <w:left w:val="nil"/>
          <w:bottom w:val="nil"/>
          <w:right w:val="nil"/>
          <w:between w:val="nil"/>
        </w:pBdr>
        <w:jc w:val="both"/>
        <w:rPr>
          <w:rFonts w:ascii="Times New Roman" w:eastAsia="Times New Roman" w:hAnsi="Times New Roman" w:cs="Times New Roman"/>
          <w:color w:val="000000"/>
        </w:rPr>
      </w:pPr>
      <w:r w:rsidRPr="00C52E1C">
        <w:rPr>
          <w:rFonts w:ascii="Times New Roman" w:eastAsia="Times New Roman" w:hAnsi="Times New Roman" w:cs="Times New Roman"/>
          <w:color w:val="000000"/>
        </w:rPr>
        <w:t xml:space="preserve">Whenever possible, external quality assurance systems should address how the social dimension, diversity, accessibility, equity and inclusion are reflected within the institutional missions of higher education institutions, whilst respecting the principle of autonomy of higher education institutions. </w:t>
      </w:r>
    </w:p>
    <w:p w14:paraId="6D03D834" w14:textId="77777777" w:rsidR="00152FC0" w:rsidRDefault="00152FC0">
      <w:pPr>
        <w:jc w:val="both"/>
        <w:rPr>
          <w:rFonts w:ascii="Times New Roman" w:eastAsia="Times New Roman" w:hAnsi="Times New Roman" w:cs="Times New Roman"/>
          <w:sz w:val="24"/>
          <w:szCs w:val="24"/>
        </w:rPr>
      </w:pPr>
    </w:p>
    <w:tbl>
      <w:tblPr>
        <w:tblStyle w:val="a5"/>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A3B35" w:rsidRPr="00DA3B35" w14:paraId="1A8DEBE3" w14:textId="77777777" w:rsidTr="00DA3B35">
        <w:tc>
          <w:tcPr>
            <w:tcW w:w="9010" w:type="dxa"/>
            <w:shd w:val="clear" w:color="auto" w:fill="auto"/>
          </w:tcPr>
          <w:p w14:paraId="01851723" w14:textId="77777777" w:rsidR="00152FC0" w:rsidRDefault="0080179B">
            <w:pPr>
              <w:jc w:val="both"/>
              <w:rPr>
                <w:rFonts w:ascii="Times New Roman" w:eastAsia="Times New Roman" w:hAnsi="Times New Roman" w:cs="Times New Roman"/>
                <w:b/>
              </w:rPr>
            </w:pPr>
            <w:r w:rsidRPr="00DA3B35">
              <w:rPr>
                <w:rFonts w:ascii="Times New Roman" w:eastAsia="Times New Roman" w:hAnsi="Times New Roman" w:cs="Times New Roman"/>
                <w:b/>
              </w:rPr>
              <w:lastRenderedPageBreak/>
              <w:t>Indicators</w:t>
            </w:r>
          </w:p>
          <w:p w14:paraId="478A2A84" w14:textId="133C0B2A" w:rsidR="00DA3B35" w:rsidRPr="00DA3B35" w:rsidRDefault="00DA3B35">
            <w:pPr>
              <w:jc w:val="both"/>
              <w:rPr>
                <w:rFonts w:ascii="Times New Roman" w:eastAsia="Times New Roman" w:hAnsi="Times New Roman" w:cs="Times New Roman"/>
                <w:b/>
              </w:rPr>
            </w:pPr>
          </w:p>
        </w:tc>
      </w:tr>
      <w:tr w:rsidR="00DA3B35" w:rsidRPr="00DA3B35" w14:paraId="101F25D6" w14:textId="77777777" w:rsidTr="00DA3B35">
        <w:tc>
          <w:tcPr>
            <w:tcW w:w="9010" w:type="dxa"/>
            <w:shd w:val="clear" w:color="auto" w:fill="auto"/>
          </w:tcPr>
          <w:p w14:paraId="3A6A6423" w14:textId="07F36E1A" w:rsidR="00D00FC0" w:rsidRPr="00D00FC0" w:rsidRDefault="0080179B" w:rsidP="00D00FC0">
            <w:pPr>
              <w:jc w:val="both"/>
              <w:rPr>
                <w:rFonts w:ascii="Times New Roman" w:eastAsia="Times New Roman" w:hAnsi="Times New Roman" w:cs="Times New Roman"/>
                <w:b/>
              </w:rPr>
            </w:pPr>
            <w:r w:rsidRPr="00DA3B35">
              <w:rPr>
                <w:rFonts w:ascii="Times New Roman" w:eastAsia="Times New Roman" w:hAnsi="Times New Roman" w:cs="Times New Roman"/>
                <w:b/>
              </w:rPr>
              <w:t xml:space="preserve">1. Existence of top-level </w:t>
            </w:r>
            <w:r w:rsidR="00DA3B35" w:rsidRPr="00FE690E">
              <w:rPr>
                <w:rFonts w:ascii="Times New Roman" w:eastAsia="Times New Roman" w:hAnsi="Times New Roman" w:cs="Times New Roman"/>
                <w:b/>
                <w:u w:val="single"/>
              </w:rPr>
              <w:t xml:space="preserve">requirements or </w:t>
            </w:r>
            <w:r w:rsidRPr="00FE690E">
              <w:rPr>
                <w:rFonts w:ascii="Times New Roman" w:eastAsia="Times New Roman" w:hAnsi="Times New Roman" w:cs="Times New Roman"/>
                <w:b/>
                <w:u w:val="single"/>
              </w:rPr>
              <w:t>recommendations</w:t>
            </w:r>
            <w:r w:rsidRPr="00DA3B35">
              <w:rPr>
                <w:rFonts w:ascii="Times New Roman" w:eastAsia="Times New Roman" w:hAnsi="Times New Roman" w:cs="Times New Roman"/>
                <w:b/>
              </w:rPr>
              <w:t xml:space="preserve"> for higher education institutions to offer training on diversity, equity or inclusion to academic and administrative staff, and students</w:t>
            </w:r>
            <w:r w:rsidR="00DA3B35" w:rsidRPr="00DA3B35">
              <w:rPr>
                <w:rFonts w:ascii="Times New Roman" w:eastAsia="Times New Roman" w:hAnsi="Times New Roman" w:cs="Times New Roman"/>
                <w:b/>
              </w:rPr>
              <w:t xml:space="preserve"> (Eurydice,2022)</w:t>
            </w:r>
            <w:r w:rsidRPr="00DA3B35">
              <w:rPr>
                <w:rFonts w:ascii="Times New Roman" w:eastAsia="Times New Roman" w:hAnsi="Times New Roman" w:cs="Times New Roman"/>
                <w:b/>
              </w:rPr>
              <w:t>.</w:t>
            </w:r>
          </w:p>
          <w:p w14:paraId="4BBA5415" w14:textId="72B88B98" w:rsidR="00D00FC0" w:rsidRPr="00DA3B35" w:rsidRDefault="00D00FC0" w:rsidP="00D00FC0">
            <w:pPr>
              <w:pStyle w:val="ListParagraph"/>
              <w:numPr>
                <w:ilvl w:val="0"/>
                <w:numId w:val="1"/>
              </w:numPr>
              <w:jc w:val="both"/>
              <w:rPr>
                <w:rFonts w:ascii="Times New Roman" w:eastAsia="Times New Roman" w:hAnsi="Times New Roman" w:cs="Times New Roman"/>
                <w:bCs/>
                <w:sz w:val="22"/>
                <w:szCs w:val="22"/>
              </w:rPr>
            </w:pPr>
            <w:r w:rsidRPr="00DA3B35">
              <w:rPr>
                <w:rFonts w:ascii="Times New Roman" w:eastAsia="Times New Roman" w:hAnsi="Times New Roman" w:cs="Times New Roman"/>
                <w:bCs/>
                <w:sz w:val="22"/>
                <w:szCs w:val="22"/>
              </w:rPr>
              <w:t>Existence of top-level requirements</w:t>
            </w:r>
            <w:r>
              <w:rPr>
                <w:rFonts w:ascii="Times New Roman" w:eastAsia="Times New Roman" w:hAnsi="Times New Roman" w:cs="Times New Roman"/>
                <w:bCs/>
                <w:sz w:val="22"/>
                <w:szCs w:val="22"/>
              </w:rPr>
              <w:t xml:space="preserve"> or </w:t>
            </w:r>
            <w:r w:rsidRPr="00DA3B35">
              <w:rPr>
                <w:rFonts w:ascii="Times New Roman" w:eastAsia="Times New Roman" w:hAnsi="Times New Roman" w:cs="Times New Roman"/>
                <w:bCs/>
                <w:sz w:val="22"/>
                <w:szCs w:val="22"/>
              </w:rPr>
              <w:t>recommendations fo</w:t>
            </w:r>
            <w:r w:rsidR="003A2794">
              <w:rPr>
                <w:rFonts w:ascii="Times New Roman" w:eastAsia="Times New Roman" w:hAnsi="Times New Roman" w:cs="Times New Roman"/>
                <w:bCs/>
                <w:sz w:val="22"/>
                <w:szCs w:val="22"/>
              </w:rPr>
              <w:t>r</w:t>
            </w:r>
            <w:r w:rsidRPr="00DA3B35">
              <w:rPr>
                <w:rFonts w:ascii="Times New Roman" w:eastAsia="Times New Roman" w:hAnsi="Times New Roman" w:cs="Times New Roman"/>
                <w:bCs/>
                <w:sz w:val="22"/>
                <w:szCs w:val="22"/>
              </w:rPr>
              <w:t xml:space="preserve"> initial </w:t>
            </w:r>
            <w:r>
              <w:rPr>
                <w:rFonts w:ascii="Times New Roman" w:eastAsia="Times New Roman" w:hAnsi="Times New Roman" w:cs="Times New Roman"/>
                <w:bCs/>
                <w:sz w:val="22"/>
                <w:szCs w:val="22"/>
              </w:rPr>
              <w:t xml:space="preserve">staff and student </w:t>
            </w:r>
            <w:r w:rsidRPr="00DA3B35">
              <w:rPr>
                <w:rFonts w:ascii="Times New Roman" w:eastAsia="Times New Roman" w:hAnsi="Times New Roman" w:cs="Times New Roman"/>
                <w:bCs/>
                <w:sz w:val="22"/>
                <w:szCs w:val="22"/>
              </w:rPr>
              <w:t xml:space="preserve">training on diversity, equity and inclusion at </w:t>
            </w:r>
            <w:r w:rsidR="00C52E1C">
              <w:rPr>
                <w:rFonts w:ascii="Times New Roman" w:eastAsia="Times New Roman" w:hAnsi="Times New Roman" w:cs="Times New Roman"/>
                <w:bCs/>
                <w:sz w:val="22"/>
                <w:szCs w:val="22"/>
              </w:rPr>
              <w:t>higher education institutions</w:t>
            </w:r>
            <w:r w:rsidRPr="00DA3B35">
              <w:rPr>
                <w:rFonts w:ascii="Times New Roman" w:eastAsia="Times New Roman" w:hAnsi="Times New Roman" w:cs="Times New Roman"/>
                <w:bCs/>
                <w:sz w:val="22"/>
                <w:szCs w:val="22"/>
              </w:rPr>
              <w:t xml:space="preserve"> (e.g. training on equal opportunities, universal accessibility and universal design, etc.). </w:t>
            </w:r>
          </w:p>
          <w:p w14:paraId="4638941A" w14:textId="3B5DD9A6" w:rsidR="00D00FC0" w:rsidRPr="00DA3B35" w:rsidRDefault="00D00FC0" w:rsidP="00D00FC0">
            <w:pPr>
              <w:pStyle w:val="ListParagraph"/>
              <w:numPr>
                <w:ilvl w:val="0"/>
                <w:numId w:val="1"/>
              </w:numPr>
              <w:jc w:val="both"/>
              <w:rPr>
                <w:rFonts w:ascii="Times New Roman" w:eastAsia="Times New Roman" w:hAnsi="Times New Roman" w:cs="Times New Roman"/>
                <w:bCs/>
                <w:sz w:val="22"/>
                <w:szCs w:val="22"/>
              </w:rPr>
            </w:pPr>
            <w:r w:rsidRPr="00DA3B35">
              <w:rPr>
                <w:rFonts w:ascii="Times New Roman" w:eastAsia="Times New Roman" w:hAnsi="Times New Roman" w:cs="Times New Roman"/>
                <w:bCs/>
                <w:sz w:val="22"/>
                <w:szCs w:val="22"/>
              </w:rPr>
              <w:t>Existence of top-level requirements</w:t>
            </w:r>
            <w:r>
              <w:rPr>
                <w:rFonts w:ascii="Times New Roman" w:eastAsia="Times New Roman" w:hAnsi="Times New Roman" w:cs="Times New Roman"/>
                <w:bCs/>
                <w:sz w:val="22"/>
                <w:szCs w:val="22"/>
              </w:rPr>
              <w:t xml:space="preserve"> or </w:t>
            </w:r>
            <w:r w:rsidRPr="00DA3B35">
              <w:rPr>
                <w:rFonts w:ascii="Times New Roman" w:eastAsia="Times New Roman" w:hAnsi="Times New Roman" w:cs="Times New Roman"/>
                <w:bCs/>
                <w:sz w:val="22"/>
                <w:szCs w:val="22"/>
              </w:rPr>
              <w:t>recommendations for continuous professional</w:t>
            </w:r>
            <w:r>
              <w:rPr>
                <w:rFonts w:ascii="Times New Roman" w:eastAsia="Times New Roman" w:hAnsi="Times New Roman" w:cs="Times New Roman"/>
                <w:bCs/>
                <w:sz w:val="22"/>
                <w:szCs w:val="22"/>
              </w:rPr>
              <w:t xml:space="preserve"> staff</w:t>
            </w:r>
            <w:r w:rsidR="00C52E1C">
              <w:rPr>
                <w:rFonts w:ascii="Times New Roman" w:eastAsia="Times New Roman" w:hAnsi="Times New Roman" w:cs="Times New Roman"/>
                <w:bCs/>
                <w:sz w:val="22"/>
                <w:szCs w:val="22"/>
              </w:rPr>
              <w:t xml:space="preserve"> development</w:t>
            </w:r>
            <w:r>
              <w:rPr>
                <w:rFonts w:ascii="Times New Roman" w:eastAsia="Times New Roman" w:hAnsi="Times New Roman" w:cs="Times New Roman"/>
                <w:bCs/>
                <w:sz w:val="22"/>
                <w:szCs w:val="22"/>
              </w:rPr>
              <w:t xml:space="preserve"> </w:t>
            </w:r>
            <w:r w:rsidRPr="00DA3B35">
              <w:rPr>
                <w:rFonts w:ascii="Times New Roman" w:eastAsia="Times New Roman" w:hAnsi="Times New Roman" w:cs="Times New Roman"/>
                <w:bCs/>
                <w:sz w:val="22"/>
                <w:szCs w:val="22"/>
              </w:rPr>
              <w:t xml:space="preserve">at </w:t>
            </w:r>
            <w:r w:rsidR="00C52E1C">
              <w:rPr>
                <w:rFonts w:ascii="Times New Roman" w:eastAsia="Times New Roman" w:hAnsi="Times New Roman" w:cs="Times New Roman"/>
                <w:bCs/>
                <w:sz w:val="22"/>
                <w:szCs w:val="22"/>
              </w:rPr>
              <w:t>higher education institutions</w:t>
            </w:r>
            <w:r w:rsidRPr="00DA3B35">
              <w:rPr>
                <w:rFonts w:ascii="Times New Roman" w:eastAsia="Times New Roman" w:hAnsi="Times New Roman" w:cs="Times New Roman"/>
                <w:bCs/>
                <w:sz w:val="22"/>
                <w:szCs w:val="22"/>
              </w:rPr>
              <w:t xml:space="preserve"> on diversity, equity and inclusion strategies</w:t>
            </w:r>
            <w:r>
              <w:rPr>
                <w:rFonts w:ascii="Times New Roman" w:eastAsia="Times New Roman" w:hAnsi="Times New Roman" w:cs="Times New Roman"/>
                <w:bCs/>
                <w:sz w:val="22"/>
                <w:szCs w:val="22"/>
              </w:rPr>
              <w:t>.</w:t>
            </w:r>
            <w:r w:rsidRPr="00DA3B35">
              <w:rPr>
                <w:rFonts w:ascii="Times New Roman" w:eastAsia="Times New Roman" w:hAnsi="Times New Roman" w:cs="Times New Roman"/>
                <w:bCs/>
                <w:sz w:val="22"/>
                <w:szCs w:val="22"/>
              </w:rPr>
              <w:t xml:space="preserve"> </w:t>
            </w:r>
          </w:p>
          <w:p w14:paraId="178CD048" w14:textId="77777777" w:rsidR="00152FC0" w:rsidRPr="00DA3B35" w:rsidRDefault="00152FC0">
            <w:pPr>
              <w:jc w:val="both"/>
              <w:rPr>
                <w:rFonts w:ascii="Times New Roman" w:eastAsia="Times New Roman" w:hAnsi="Times New Roman" w:cs="Times New Roman"/>
                <w:bCs/>
              </w:rPr>
            </w:pPr>
          </w:p>
        </w:tc>
      </w:tr>
      <w:tr w:rsidR="00DA3B35" w:rsidRPr="00DA3B35" w14:paraId="72476EF4" w14:textId="77777777" w:rsidTr="00DA3B35">
        <w:tc>
          <w:tcPr>
            <w:tcW w:w="9010" w:type="dxa"/>
            <w:shd w:val="clear" w:color="auto" w:fill="auto"/>
          </w:tcPr>
          <w:p w14:paraId="15FB47C1" w14:textId="20258F25" w:rsidR="00152FC0" w:rsidRPr="00E8220A" w:rsidRDefault="0080179B">
            <w:pPr>
              <w:jc w:val="both"/>
              <w:rPr>
                <w:rFonts w:ascii="Times New Roman" w:eastAsia="Times New Roman" w:hAnsi="Times New Roman" w:cs="Times New Roman"/>
                <w:b/>
              </w:rPr>
            </w:pPr>
            <w:r w:rsidRPr="00E8220A">
              <w:rPr>
                <w:rFonts w:ascii="Times New Roman" w:eastAsia="Times New Roman" w:hAnsi="Times New Roman" w:cs="Times New Roman"/>
                <w:b/>
              </w:rPr>
              <w:t xml:space="preserve">2. Existence of </w:t>
            </w:r>
            <w:r w:rsidRPr="00FE690E">
              <w:rPr>
                <w:rFonts w:ascii="Times New Roman" w:eastAsia="Times New Roman" w:hAnsi="Times New Roman" w:cs="Times New Roman"/>
                <w:b/>
                <w:u w:val="single"/>
              </w:rPr>
              <w:t xml:space="preserve">support </w:t>
            </w:r>
            <w:r w:rsidRPr="00E8220A">
              <w:rPr>
                <w:rFonts w:ascii="Times New Roman" w:eastAsia="Times New Roman" w:hAnsi="Times New Roman" w:cs="Times New Roman"/>
                <w:b/>
              </w:rPr>
              <w:t>offered by top-level public authorities to higher education institutions to offer training on diversity, equity or inclusion to academic and administrative staff and students</w:t>
            </w:r>
            <w:r w:rsidR="00E8220A" w:rsidRPr="00E8220A">
              <w:rPr>
                <w:rFonts w:ascii="Times New Roman" w:eastAsia="Times New Roman" w:hAnsi="Times New Roman" w:cs="Times New Roman"/>
                <w:b/>
              </w:rPr>
              <w:t xml:space="preserve"> (Eurydice,2022).</w:t>
            </w:r>
          </w:p>
          <w:p w14:paraId="35FE423F" w14:textId="7E6D7D72" w:rsidR="00417DBE" w:rsidRPr="00DA3B35" w:rsidRDefault="00FE690E" w:rsidP="00417DBE">
            <w:pPr>
              <w:numPr>
                <w:ilvl w:val="0"/>
                <w:numId w:val="1"/>
              </w:numP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417DBE" w:rsidRPr="00DA3B35">
              <w:rPr>
                <w:rFonts w:ascii="Times New Roman" w:eastAsia="Times New Roman" w:hAnsi="Times New Roman" w:cs="Times New Roman"/>
                <w:bCs/>
              </w:rPr>
              <w:t xml:space="preserve"> provide</w:t>
            </w:r>
            <w:r w:rsidR="00417DBE">
              <w:rPr>
                <w:rFonts w:ascii="Times New Roman" w:eastAsia="Times New Roman" w:hAnsi="Times New Roman" w:cs="Times New Roman"/>
                <w:bCs/>
              </w:rPr>
              <w:t>s</w:t>
            </w:r>
            <w:r w:rsidR="00417DBE" w:rsidRPr="00DA3B35">
              <w:rPr>
                <w:rFonts w:ascii="Times New Roman" w:eastAsia="Times New Roman" w:hAnsi="Times New Roman" w:cs="Times New Roman"/>
                <w:bCs/>
              </w:rPr>
              <w:t xml:space="preserve"> funding for the provision of initial and continuous professional </w:t>
            </w:r>
            <w:r w:rsidR="00417DBE">
              <w:rPr>
                <w:rFonts w:ascii="Times New Roman" w:eastAsia="Times New Roman" w:hAnsi="Times New Roman" w:cs="Times New Roman"/>
                <w:bCs/>
              </w:rPr>
              <w:t xml:space="preserve">staff and student </w:t>
            </w:r>
            <w:r w:rsidR="00417DBE" w:rsidRPr="00DA3B35">
              <w:rPr>
                <w:rFonts w:ascii="Times New Roman" w:eastAsia="Times New Roman" w:hAnsi="Times New Roman" w:cs="Times New Roman"/>
                <w:bCs/>
              </w:rPr>
              <w:t>training</w:t>
            </w:r>
            <w:r w:rsidR="00417DBE">
              <w:rPr>
                <w:rFonts w:ascii="Times New Roman" w:eastAsia="Times New Roman" w:hAnsi="Times New Roman" w:cs="Times New Roman"/>
                <w:bCs/>
              </w:rPr>
              <w:t xml:space="preserve"> </w:t>
            </w:r>
            <w:r w:rsidR="00417DBE" w:rsidRPr="00DA3B35">
              <w:rPr>
                <w:rFonts w:ascii="Times New Roman" w:eastAsia="Times New Roman" w:hAnsi="Times New Roman" w:cs="Times New Roman"/>
                <w:bCs/>
              </w:rPr>
              <w:t>on diversity, equity and inclusion</w:t>
            </w:r>
            <w:r w:rsidR="00417DBE">
              <w:rPr>
                <w:rFonts w:ascii="Times New Roman" w:eastAsia="Times New Roman" w:hAnsi="Times New Roman" w:cs="Times New Roman"/>
                <w:bCs/>
              </w:rPr>
              <w:t>.</w:t>
            </w:r>
            <w:r w:rsidR="00417DBE" w:rsidRPr="00DA3B35">
              <w:rPr>
                <w:rFonts w:ascii="Times New Roman" w:eastAsia="Times New Roman" w:hAnsi="Times New Roman" w:cs="Times New Roman"/>
                <w:bCs/>
              </w:rPr>
              <w:t xml:space="preserve"> </w:t>
            </w:r>
          </w:p>
          <w:p w14:paraId="0194A9B3" w14:textId="51746742" w:rsidR="00142C31" w:rsidRPr="00DA3B35" w:rsidRDefault="00FE690E" w:rsidP="00142C31">
            <w:pPr>
              <w:numPr>
                <w:ilvl w:val="0"/>
                <w:numId w:val="1"/>
              </w:numP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142C31" w:rsidRPr="00DA3B35">
              <w:rPr>
                <w:rFonts w:ascii="Times New Roman" w:eastAsia="Times New Roman" w:hAnsi="Times New Roman" w:cs="Times New Roman"/>
                <w:bCs/>
              </w:rPr>
              <w:t xml:space="preserve"> provides </w:t>
            </w:r>
            <w:r>
              <w:rPr>
                <w:rFonts w:ascii="Times New Roman" w:eastAsia="Times New Roman" w:hAnsi="Times New Roman" w:cs="Times New Roman"/>
                <w:bCs/>
              </w:rPr>
              <w:t>higher education institutions</w:t>
            </w:r>
            <w:r w:rsidR="00142C31" w:rsidRPr="00DA3B35">
              <w:rPr>
                <w:rFonts w:ascii="Times New Roman" w:eastAsia="Times New Roman" w:hAnsi="Times New Roman" w:cs="Times New Roman"/>
                <w:bCs/>
              </w:rPr>
              <w:t xml:space="preserve"> with tools and other non-financial means of support on </w:t>
            </w:r>
            <w:r w:rsidR="0048694A" w:rsidRPr="00DA3B35">
              <w:rPr>
                <w:rFonts w:ascii="Times New Roman" w:eastAsia="Times New Roman" w:hAnsi="Times New Roman" w:cs="Times New Roman"/>
                <w:bCs/>
              </w:rPr>
              <w:t>diversity, equity and inclusion</w:t>
            </w:r>
            <w:r w:rsidR="00142C31" w:rsidRPr="00DA3B35">
              <w:rPr>
                <w:rFonts w:ascii="Times New Roman" w:eastAsia="Times New Roman" w:hAnsi="Times New Roman" w:cs="Times New Roman"/>
                <w:bCs/>
              </w:rPr>
              <w:t xml:space="preserve"> for its staff and students.</w:t>
            </w:r>
          </w:p>
          <w:p w14:paraId="0C140643" w14:textId="4A0A0FEF" w:rsidR="00152FC0" w:rsidRPr="00DA3B35" w:rsidRDefault="00FE690E">
            <w:pPr>
              <w:numPr>
                <w:ilvl w:val="0"/>
                <w:numId w:val="1"/>
              </w:numP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DA0913">
              <w:rPr>
                <w:rFonts w:ascii="Times New Roman" w:eastAsia="Times New Roman" w:hAnsi="Times New Roman" w:cs="Times New Roman"/>
                <w:bCs/>
              </w:rPr>
              <w:t xml:space="preserve"> supports the e</w:t>
            </w:r>
            <w:r w:rsidR="0080179B" w:rsidRPr="00DA3B35">
              <w:rPr>
                <w:rFonts w:ascii="Times New Roman" w:eastAsia="Times New Roman" w:hAnsi="Times New Roman" w:cs="Times New Roman"/>
                <w:bCs/>
              </w:rPr>
              <w:t xml:space="preserve">xistence of mentoring network at the local, regional or national level for both staff and students in order to </w:t>
            </w:r>
            <w:r w:rsidR="00C8573B">
              <w:rPr>
                <w:rFonts w:ascii="Times New Roman" w:eastAsia="Times New Roman" w:hAnsi="Times New Roman" w:cs="Times New Roman"/>
                <w:bCs/>
              </w:rPr>
              <w:t xml:space="preserve">involve, </w:t>
            </w:r>
            <w:r w:rsidR="0080179B" w:rsidRPr="00DA3B35">
              <w:rPr>
                <w:rFonts w:ascii="Times New Roman" w:eastAsia="Times New Roman" w:hAnsi="Times New Roman" w:cs="Times New Roman"/>
                <w:bCs/>
              </w:rPr>
              <w:t xml:space="preserve">guide and assist them on how </w:t>
            </w:r>
            <w:r w:rsidR="00142C31" w:rsidRPr="00DA3B35">
              <w:rPr>
                <w:rFonts w:ascii="Times New Roman" w:eastAsia="Times New Roman" w:hAnsi="Times New Roman" w:cs="Times New Roman"/>
                <w:bCs/>
              </w:rPr>
              <w:t xml:space="preserve">to </w:t>
            </w:r>
            <w:r w:rsidR="0080179B" w:rsidRPr="00DA3B35">
              <w:rPr>
                <w:rFonts w:ascii="Times New Roman" w:eastAsia="Times New Roman" w:hAnsi="Times New Roman" w:cs="Times New Roman"/>
                <w:bCs/>
              </w:rPr>
              <w:t xml:space="preserve">best interact with the needs of more diverse student and staff body. </w:t>
            </w:r>
          </w:p>
          <w:p w14:paraId="5740F6C3" w14:textId="35D01DCD" w:rsidR="00142C31" w:rsidRPr="00DA3B35" w:rsidRDefault="00142C31" w:rsidP="00142C31">
            <w:pPr>
              <w:ind w:left="720"/>
              <w:jc w:val="both"/>
              <w:rPr>
                <w:rFonts w:ascii="Times New Roman" w:eastAsia="Times New Roman" w:hAnsi="Times New Roman" w:cs="Times New Roman"/>
                <w:bCs/>
              </w:rPr>
            </w:pPr>
          </w:p>
        </w:tc>
      </w:tr>
      <w:tr w:rsidR="00DA3B35" w:rsidRPr="00DA3B35" w14:paraId="0A83FD0F" w14:textId="77777777" w:rsidTr="00DA3B35">
        <w:tc>
          <w:tcPr>
            <w:tcW w:w="9010" w:type="dxa"/>
            <w:shd w:val="clear" w:color="auto" w:fill="auto"/>
          </w:tcPr>
          <w:p w14:paraId="397877DC" w14:textId="4A4C5A51" w:rsidR="00152FC0" w:rsidRPr="00CA7A25" w:rsidRDefault="0080179B">
            <w:pPr>
              <w:jc w:val="both"/>
              <w:rPr>
                <w:rFonts w:ascii="Times New Roman" w:eastAsia="Times New Roman" w:hAnsi="Times New Roman" w:cs="Times New Roman"/>
                <w:b/>
              </w:rPr>
            </w:pPr>
            <w:r w:rsidRPr="00CA7A25">
              <w:rPr>
                <w:rFonts w:ascii="Times New Roman" w:eastAsia="Times New Roman" w:hAnsi="Times New Roman" w:cs="Times New Roman"/>
                <w:b/>
              </w:rPr>
              <w:t xml:space="preserve">3. </w:t>
            </w:r>
            <w:r w:rsidR="009B3AF5">
              <w:rPr>
                <w:rFonts w:ascii="Times New Roman" w:eastAsia="Times New Roman" w:hAnsi="Times New Roman" w:cs="Times New Roman"/>
                <w:b/>
                <w:bCs/>
                <w:lang w:val="en-GB"/>
              </w:rPr>
              <w:t>Public authority</w:t>
            </w:r>
            <w:r w:rsidRPr="00CA7A25">
              <w:rPr>
                <w:rFonts w:ascii="Times New Roman" w:eastAsia="Times New Roman" w:hAnsi="Times New Roman" w:cs="Times New Roman"/>
                <w:b/>
              </w:rPr>
              <w:t xml:space="preserve"> issue</w:t>
            </w:r>
            <w:r w:rsidR="00CA7A25">
              <w:rPr>
                <w:rFonts w:ascii="Times New Roman" w:eastAsia="Times New Roman" w:hAnsi="Times New Roman" w:cs="Times New Roman"/>
                <w:b/>
              </w:rPr>
              <w:t>s</w:t>
            </w:r>
            <w:r w:rsidRPr="00CA7A25">
              <w:rPr>
                <w:rFonts w:ascii="Times New Roman" w:eastAsia="Times New Roman" w:hAnsi="Times New Roman" w:cs="Times New Roman"/>
                <w:b/>
              </w:rPr>
              <w:t xml:space="preserve"> guidelines to quality assurance agencies to consider whether social dimension is addressed in the mission and strategy of higher education institutions</w:t>
            </w:r>
            <w:r w:rsidR="00CA7A25" w:rsidRPr="00CA7A25">
              <w:rPr>
                <w:rFonts w:ascii="Times New Roman" w:eastAsia="Times New Roman" w:hAnsi="Times New Roman" w:cs="Times New Roman"/>
                <w:b/>
              </w:rPr>
              <w:t xml:space="preserve"> (Eurydice,</w:t>
            </w:r>
            <w:r w:rsidR="00D228B1">
              <w:rPr>
                <w:rFonts w:ascii="Times New Roman" w:eastAsia="Times New Roman" w:hAnsi="Times New Roman" w:cs="Times New Roman"/>
                <w:b/>
              </w:rPr>
              <w:t xml:space="preserve"> </w:t>
            </w:r>
            <w:r w:rsidR="00CA7A25" w:rsidRPr="00CA7A25">
              <w:rPr>
                <w:rFonts w:ascii="Times New Roman" w:eastAsia="Times New Roman" w:hAnsi="Times New Roman" w:cs="Times New Roman"/>
                <w:b/>
              </w:rPr>
              <w:t>2022).</w:t>
            </w:r>
          </w:p>
          <w:p w14:paraId="5E59020E" w14:textId="33D84030" w:rsidR="00152FC0" w:rsidRPr="003A2794" w:rsidRDefault="0080179B" w:rsidP="006B70A5">
            <w:pPr>
              <w:numPr>
                <w:ilvl w:val="0"/>
                <w:numId w:val="2"/>
              </w:numPr>
              <w:jc w:val="both"/>
              <w:rPr>
                <w:rFonts w:ascii="Times New Roman" w:eastAsia="Times New Roman" w:hAnsi="Times New Roman" w:cs="Times New Roman"/>
                <w:bCs/>
              </w:rPr>
            </w:pPr>
            <w:r w:rsidRPr="00DA3B35">
              <w:rPr>
                <w:rFonts w:ascii="Times New Roman" w:eastAsia="Times New Roman" w:hAnsi="Times New Roman" w:cs="Times New Roman"/>
                <w:bCs/>
              </w:rPr>
              <w:t xml:space="preserve">The external quality assurance evaluations check whether </w:t>
            </w:r>
            <w:r w:rsidR="000E3EA4">
              <w:rPr>
                <w:rFonts w:ascii="Times New Roman" w:eastAsia="Times New Roman" w:hAnsi="Times New Roman" w:cs="Times New Roman"/>
                <w:bCs/>
              </w:rPr>
              <w:t xml:space="preserve">diversity, </w:t>
            </w:r>
            <w:r w:rsidR="00BA1D35">
              <w:rPr>
                <w:rFonts w:ascii="Times New Roman" w:eastAsia="Times New Roman" w:hAnsi="Times New Roman" w:cs="Times New Roman"/>
                <w:bCs/>
              </w:rPr>
              <w:t>equity and inclusion</w:t>
            </w:r>
            <w:r w:rsidR="00CA7A25">
              <w:rPr>
                <w:rFonts w:ascii="Times New Roman" w:eastAsia="Times New Roman" w:hAnsi="Times New Roman" w:cs="Times New Roman"/>
                <w:bCs/>
              </w:rPr>
              <w:t xml:space="preserve"> objectives are</w:t>
            </w:r>
            <w:r w:rsidRPr="00DA3B35">
              <w:rPr>
                <w:rFonts w:ascii="Times New Roman" w:eastAsia="Times New Roman" w:hAnsi="Times New Roman" w:cs="Times New Roman"/>
                <w:bCs/>
              </w:rPr>
              <w:t xml:space="preserve"> engrained into the learning and teaching, research, outreach, governance, and management of higher education institutions</w:t>
            </w:r>
            <w:r w:rsidR="006B70A5">
              <w:rPr>
                <w:rFonts w:ascii="Times New Roman" w:eastAsia="Times New Roman" w:hAnsi="Times New Roman" w:cs="Times New Roman"/>
                <w:bCs/>
              </w:rPr>
              <w:t xml:space="preserve">, and </w:t>
            </w:r>
            <w:r w:rsidR="006B70A5" w:rsidRPr="00DA3B35">
              <w:rPr>
                <w:rFonts w:ascii="Times New Roman" w:eastAsia="Times New Roman" w:hAnsi="Times New Roman" w:cs="Times New Roman"/>
                <w:bCs/>
              </w:rPr>
              <w:t xml:space="preserve">if there is a systematic monitoring in place at </w:t>
            </w:r>
            <w:r w:rsidR="006B70A5">
              <w:rPr>
                <w:rFonts w:ascii="Times New Roman" w:eastAsia="Times New Roman" w:hAnsi="Times New Roman" w:cs="Times New Roman"/>
                <w:bCs/>
              </w:rPr>
              <w:t>higher education institutions</w:t>
            </w:r>
            <w:r w:rsidR="006B70A5" w:rsidRPr="00DA3B35">
              <w:rPr>
                <w:rFonts w:ascii="Times New Roman" w:eastAsia="Times New Roman" w:hAnsi="Times New Roman" w:cs="Times New Roman"/>
                <w:bCs/>
              </w:rPr>
              <w:t xml:space="preserve"> on </w:t>
            </w:r>
            <w:r w:rsidR="00D05C66">
              <w:rPr>
                <w:rFonts w:ascii="Times New Roman" w:eastAsia="Times New Roman" w:hAnsi="Times New Roman" w:cs="Times New Roman"/>
                <w:bCs/>
              </w:rPr>
              <w:t xml:space="preserve">the </w:t>
            </w:r>
            <w:r w:rsidR="006B70A5" w:rsidRPr="00DA3B35">
              <w:rPr>
                <w:rFonts w:ascii="Times New Roman" w:eastAsia="Times New Roman" w:hAnsi="Times New Roman" w:cs="Times New Roman"/>
                <w:bCs/>
              </w:rPr>
              <w:t>implementation</w:t>
            </w:r>
            <w:r w:rsidR="006B70A5">
              <w:rPr>
                <w:rFonts w:ascii="Times New Roman" w:eastAsia="Times New Roman" w:hAnsi="Times New Roman" w:cs="Times New Roman"/>
                <w:bCs/>
              </w:rPr>
              <w:t xml:space="preserve"> of</w:t>
            </w:r>
            <w:r w:rsidR="006B70A5" w:rsidRPr="00DA3B35">
              <w:rPr>
                <w:rFonts w:ascii="Times New Roman" w:eastAsia="Times New Roman" w:hAnsi="Times New Roman" w:cs="Times New Roman"/>
                <w:bCs/>
              </w:rPr>
              <w:t xml:space="preserve"> </w:t>
            </w:r>
            <w:r w:rsidR="006B70A5">
              <w:rPr>
                <w:rFonts w:ascii="Times New Roman" w:eastAsia="Times New Roman" w:hAnsi="Times New Roman" w:cs="Times New Roman"/>
                <w:bCs/>
              </w:rPr>
              <w:t>these objective</w:t>
            </w:r>
            <w:r w:rsidR="00D05C66">
              <w:rPr>
                <w:rFonts w:ascii="Times New Roman" w:eastAsia="Times New Roman" w:hAnsi="Times New Roman" w:cs="Times New Roman"/>
                <w:bCs/>
              </w:rPr>
              <w:t>s</w:t>
            </w:r>
            <w:r w:rsidR="006B70A5">
              <w:rPr>
                <w:rFonts w:ascii="Times New Roman" w:eastAsia="Times New Roman" w:hAnsi="Times New Roman" w:cs="Times New Roman"/>
                <w:bCs/>
              </w:rPr>
              <w:t>.</w:t>
            </w:r>
          </w:p>
          <w:p w14:paraId="02BCCC06" w14:textId="6B45ECE6" w:rsidR="00D228B1" w:rsidRDefault="00D228B1" w:rsidP="006B70A5">
            <w:pPr>
              <w:numPr>
                <w:ilvl w:val="0"/>
                <w:numId w:val="2"/>
              </w:numPr>
              <w:jc w:val="both"/>
              <w:rPr>
                <w:rFonts w:ascii="Times New Roman" w:eastAsia="Times New Roman" w:hAnsi="Times New Roman" w:cs="Times New Roman"/>
                <w:bCs/>
              </w:rPr>
            </w:pPr>
            <w:r w:rsidRPr="00D228B1">
              <w:rPr>
                <w:rFonts w:ascii="Times New Roman" w:eastAsia="Times New Roman" w:hAnsi="Times New Roman" w:cs="Times New Roman"/>
                <w:lang w:val="en-GB"/>
              </w:rPr>
              <w:t>Public authority</w:t>
            </w:r>
            <w:r>
              <w:rPr>
                <w:rFonts w:ascii="Times New Roman" w:eastAsia="Times New Roman" w:hAnsi="Times New Roman" w:cs="Times New Roman"/>
                <w:bCs/>
              </w:rPr>
              <w:t xml:space="preserve"> supports the involvement of u</w:t>
            </w:r>
            <w:r w:rsidRPr="00DA3B35">
              <w:rPr>
                <w:rFonts w:ascii="Times New Roman" w:eastAsia="Times New Roman" w:hAnsi="Times New Roman" w:cs="Times New Roman"/>
                <w:bCs/>
              </w:rPr>
              <w:t xml:space="preserve">nderrepresented, disadvantaged and vulnerable students and staff in internal and external quality assurance </w:t>
            </w:r>
            <w:r>
              <w:rPr>
                <w:rFonts w:ascii="Times New Roman" w:eastAsia="Times New Roman" w:hAnsi="Times New Roman" w:cs="Times New Roman"/>
                <w:bCs/>
              </w:rPr>
              <w:t>procedures</w:t>
            </w:r>
            <w:r w:rsidRPr="00DA3B35">
              <w:rPr>
                <w:rFonts w:ascii="Times New Roman" w:eastAsia="Times New Roman" w:hAnsi="Times New Roman" w:cs="Times New Roman"/>
                <w:bCs/>
              </w:rPr>
              <w:t>.</w:t>
            </w:r>
          </w:p>
          <w:p w14:paraId="749E2644" w14:textId="7656CFFF" w:rsidR="006B70A5" w:rsidRPr="00DA3B35" w:rsidRDefault="006B70A5" w:rsidP="006B70A5">
            <w:pPr>
              <w:numPr>
                <w:ilvl w:val="0"/>
                <w:numId w:val="2"/>
              </w:numPr>
              <w:jc w:val="both"/>
              <w:rPr>
                <w:rFonts w:ascii="Times New Roman" w:eastAsia="Times New Roman" w:hAnsi="Times New Roman" w:cs="Times New Roman"/>
                <w:bCs/>
              </w:rPr>
            </w:pPr>
            <w:r w:rsidRPr="009C7448">
              <w:rPr>
                <w:rFonts w:ascii="Times New Roman" w:eastAsia="Times New Roman" w:hAnsi="Times New Roman" w:cs="Times New Roman"/>
                <w:bCs/>
              </w:rPr>
              <w:t>Quality assurance agencies</w:t>
            </w:r>
            <w:r>
              <w:rPr>
                <w:rFonts w:ascii="Times New Roman" w:eastAsia="Times New Roman" w:hAnsi="Times New Roman" w:cs="Times New Roman"/>
                <w:bCs/>
              </w:rPr>
              <w:t xml:space="preserve"> have standards and criteria in their external evaluation procedures that check </w:t>
            </w:r>
            <w:r w:rsidRPr="00B93042">
              <w:rPr>
                <w:rFonts w:ascii="Times New Roman" w:eastAsia="Times New Roman" w:hAnsi="Times New Roman" w:cs="Times New Roman"/>
                <w:bCs/>
              </w:rPr>
              <w:t xml:space="preserve">whether </w:t>
            </w:r>
            <w:r>
              <w:rPr>
                <w:rFonts w:ascii="Times New Roman" w:eastAsia="Times New Roman" w:hAnsi="Times New Roman" w:cs="Times New Roman"/>
                <w:bCs/>
              </w:rPr>
              <w:t>higher education institutions</w:t>
            </w:r>
            <w:r w:rsidRPr="00B93042">
              <w:rPr>
                <w:rFonts w:ascii="Times New Roman" w:eastAsia="Times New Roman" w:hAnsi="Times New Roman" w:cs="Times New Roman"/>
                <w:bCs/>
              </w:rPr>
              <w:t xml:space="preserve"> </w:t>
            </w:r>
            <w:r w:rsidRPr="006B70A5">
              <w:rPr>
                <w:rFonts w:ascii="Times New Roman" w:eastAsia="Times New Roman" w:hAnsi="Times New Roman" w:cs="Times New Roman"/>
                <w:bCs/>
              </w:rPr>
              <w:t>offer training on diversity, equity or inclusion to academic and administrative staff and students</w:t>
            </w:r>
            <w:r>
              <w:rPr>
                <w:rFonts w:ascii="Times New Roman" w:eastAsia="Times New Roman" w:hAnsi="Times New Roman" w:cs="Times New Roman"/>
                <w:bCs/>
              </w:rPr>
              <w:t>.</w:t>
            </w:r>
          </w:p>
          <w:p w14:paraId="669F5B71" w14:textId="727DC770" w:rsidR="00A1575B" w:rsidRPr="00DA3B35" w:rsidRDefault="00A1575B" w:rsidP="00A1575B">
            <w:pPr>
              <w:ind w:left="1080"/>
              <w:jc w:val="both"/>
              <w:rPr>
                <w:rFonts w:ascii="Times New Roman" w:eastAsia="Times New Roman" w:hAnsi="Times New Roman" w:cs="Times New Roman"/>
                <w:bCs/>
              </w:rPr>
            </w:pPr>
          </w:p>
        </w:tc>
      </w:tr>
      <w:tr w:rsidR="00DA3B35" w:rsidRPr="00DA3B35" w14:paraId="1031F7A1" w14:textId="77777777" w:rsidTr="00DA3B35">
        <w:tc>
          <w:tcPr>
            <w:tcW w:w="9010" w:type="dxa"/>
            <w:shd w:val="clear" w:color="auto" w:fill="auto"/>
          </w:tcPr>
          <w:p w14:paraId="048FD75C" w14:textId="286831C3" w:rsidR="00152FC0" w:rsidRPr="003135EC" w:rsidRDefault="0080179B">
            <w:pPr>
              <w:jc w:val="both"/>
              <w:rPr>
                <w:rFonts w:ascii="Times New Roman" w:eastAsia="Times New Roman" w:hAnsi="Times New Roman" w:cs="Times New Roman"/>
                <w:b/>
              </w:rPr>
            </w:pPr>
            <w:r w:rsidRPr="003135EC">
              <w:rPr>
                <w:rFonts w:ascii="Times New Roman" w:eastAsia="Times New Roman" w:hAnsi="Times New Roman" w:cs="Times New Roman"/>
                <w:b/>
              </w:rPr>
              <w:t xml:space="preserve">4. </w:t>
            </w:r>
            <w:r w:rsidR="009B3AF5">
              <w:rPr>
                <w:rFonts w:ascii="Times New Roman" w:eastAsia="Times New Roman" w:hAnsi="Times New Roman" w:cs="Times New Roman"/>
                <w:b/>
                <w:bCs/>
                <w:lang w:val="en-GB"/>
              </w:rPr>
              <w:t>Public authority</w:t>
            </w:r>
            <w:r w:rsidRPr="003135EC">
              <w:rPr>
                <w:rFonts w:ascii="Times New Roman" w:eastAsia="Times New Roman" w:hAnsi="Times New Roman" w:cs="Times New Roman"/>
                <w:b/>
              </w:rPr>
              <w:t xml:space="preserve"> issue</w:t>
            </w:r>
            <w:r w:rsidR="003135EC" w:rsidRPr="003135EC">
              <w:rPr>
                <w:rFonts w:ascii="Times New Roman" w:eastAsia="Times New Roman" w:hAnsi="Times New Roman" w:cs="Times New Roman"/>
                <w:b/>
              </w:rPr>
              <w:t>s</w:t>
            </w:r>
            <w:r w:rsidRPr="003135EC">
              <w:rPr>
                <w:rFonts w:ascii="Times New Roman" w:eastAsia="Times New Roman" w:hAnsi="Times New Roman" w:cs="Times New Roman"/>
                <w:b/>
              </w:rPr>
              <w:t xml:space="preserve"> guidelines and provide financial means to </w:t>
            </w:r>
            <w:r w:rsidR="009B3AF5">
              <w:rPr>
                <w:rFonts w:ascii="Times New Roman" w:eastAsia="Times New Roman" w:hAnsi="Times New Roman" w:cs="Times New Roman"/>
                <w:b/>
              </w:rPr>
              <w:t>higher education institutions</w:t>
            </w:r>
            <w:r w:rsidRPr="003135EC">
              <w:rPr>
                <w:rFonts w:ascii="Times New Roman" w:eastAsia="Times New Roman" w:hAnsi="Times New Roman" w:cs="Times New Roman"/>
                <w:b/>
              </w:rPr>
              <w:t xml:space="preserve"> on how to make </w:t>
            </w:r>
            <w:r w:rsidR="009B3AF5">
              <w:rPr>
                <w:rFonts w:ascii="Times New Roman" w:eastAsia="Times New Roman" w:hAnsi="Times New Roman" w:cs="Times New Roman"/>
                <w:b/>
              </w:rPr>
              <w:t>their</w:t>
            </w:r>
            <w:r w:rsidRPr="003135EC">
              <w:rPr>
                <w:rFonts w:ascii="Times New Roman" w:eastAsia="Times New Roman" w:hAnsi="Times New Roman" w:cs="Times New Roman"/>
                <w:b/>
              </w:rPr>
              <w:t xml:space="preserve"> buildings </w:t>
            </w:r>
            <w:r w:rsidR="001679AF" w:rsidRPr="003135EC">
              <w:rPr>
                <w:rFonts w:ascii="Times New Roman" w:eastAsia="Times New Roman" w:hAnsi="Times New Roman" w:cs="Times New Roman"/>
                <w:b/>
              </w:rPr>
              <w:t xml:space="preserve">and infrastructure </w:t>
            </w:r>
            <w:r w:rsidRPr="003135EC">
              <w:rPr>
                <w:rFonts w:ascii="Times New Roman" w:eastAsia="Times New Roman" w:hAnsi="Times New Roman" w:cs="Times New Roman"/>
                <w:b/>
              </w:rPr>
              <w:t>easily accessible and adjusted to the needs of underrepresented, disadvantaged and vulnerable students and staff.</w:t>
            </w:r>
          </w:p>
          <w:p w14:paraId="1D458CA9" w14:textId="77777777" w:rsidR="00152FC0" w:rsidRPr="00DA3B35" w:rsidRDefault="00152FC0">
            <w:pPr>
              <w:jc w:val="both"/>
              <w:rPr>
                <w:rFonts w:ascii="Times New Roman" w:eastAsia="Times New Roman" w:hAnsi="Times New Roman" w:cs="Times New Roman"/>
                <w:bCs/>
              </w:rPr>
            </w:pPr>
          </w:p>
        </w:tc>
      </w:tr>
    </w:tbl>
    <w:p w14:paraId="67F592DC" w14:textId="77777777" w:rsidR="00152FC0" w:rsidRDefault="00152FC0">
      <w:pPr>
        <w:jc w:val="both"/>
        <w:rPr>
          <w:rFonts w:ascii="Times New Roman" w:eastAsia="Times New Roman" w:hAnsi="Times New Roman" w:cs="Times New Roman"/>
          <w:sz w:val="24"/>
          <w:szCs w:val="24"/>
        </w:rPr>
      </w:pPr>
    </w:p>
    <w:p w14:paraId="0FD7C341" w14:textId="77777777" w:rsidR="00152FC0" w:rsidRDefault="00152FC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636A5413" w14:textId="77777777" w:rsidR="00152FC0" w:rsidRDefault="0080179B">
      <w:pPr>
        <w:numPr>
          <w:ilvl w:val="0"/>
          <w:numId w:val="7"/>
        </w:numPr>
        <w:pBdr>
          <w:top w:val="single" w:sz="4" w:space="1" w:color="000000"/>
          <w:left w:val="single" w:sz="4" w:space="4" w:color="000000"/>
          <w:bottom w:val="single" w:sz="4" w:space="1" w:color="000000"/>
          <w:right w:val="single" w:sz="4" w:space="4" w:color="000000"/>
          <w:between w:val="nil"/>
        </w:pBdr>
        <w:shd w:val="clear" w:color="auto" w:fill="70AD47" w:themeFill="accent6"/>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International mobility programs in higher education should be structured and implemented in a way that foster diversity, equity and inclusion and should particularly foster participation of students and staff from vulnerable, disadvantaged or underrepresented backgrounds. </w:t>
      </w:r>
    </w:p>
    <w:p w14:paraId="01285757" w14:textId="77777777" w:rsidR="00152FC0" w:rsidRDefault="00152FC0">
      <w:pPr>
        <w:pBdr>
          <w:top w:val="nil"/>
          <w:left w:val="nil"/>
          <w:bottom w:val="nil"/>
          <w:right w:val="nil"/>
          <w:between w:val="nil"/>
        </w:pBdr>
        <w:ind w:left="720"/>
        <w:jc w:val="both"/>
        <w:rPr>
          <w:rFonts w:ascii="Times New Roman" w:eastAsia="Times New Roman" w:hAnsi="Times New Roman" w:cs="Times New Roman"/>
          <w:b/>
          <w:color w:val="000000"/>
          <w:sz w:val="24"/>
          <w:szCs w:val="24"/>
        </w:rPr>
      </w:pPr>
    </w:p>
    <w:p w14:paraId="03AB5071" w14:textId="77777777" w:rsidR="00152FC0" w:rsidRPr="00A47E07" w:rsidRDefault="0080179B">
      <w:pPr>
        <w:pBdr>
          <w:top w:val="nil"/>
          <w:left w:val="nil"/>
          <w:bottom w:val="nil"/>
          <w:right w:val="nil"/>
          <w:between w:val="nil"/>
        </w:pBdr>
        <w:ind w:left="720"/>
        <w:jc w:val="both"/>
        <w:rPr>
          <w:rFonts w:ascii="Times New Roman" w:eastAsia="Times New Roman" w:hAnsi="Times New Roman" w:cs="Times New Roman"/>
          <w:b/>
          <w:color w:val="000000"/>
        </w:rPr>
      </w:pPr>
      <w:r w:rsidRPr="00A47E07">
        <w:rPr>
          <w:rFonts w:ascii="Times New Roman" w:eastAsia="Times New Roman" w:hAnsi="Times New Roman" w:cs="Times New Roman"/>
          <w:b/>
          <w:color w:val="000000"/>
        </w:rPr>
        <w:t>Guidelines:</w:t>
      </w:r>
    </w:p>
    <w:p w14:paraId="5E39BC7E" w14:textId="77777777" w:rsidR="00152FC0" w:rsidRPr="00BC12CA" w:rsidRDefault="0080179B">
      <w:pPr>
        <w:numPr>
          <w:ilvl w:val="1"/>
          <w:numId w:val="7"/>
        </w:numPr>
        <w:pBdr>
          <w:top w:val="nil"/>
          <w:left w:val="nil"/>
          <w:bottom w:val="nil"/>
          <w:right w:val="nil"/>
          <w:between w:val="nil"/>
        </w:pBdr>
        <w:jc w:val="both"/>
        <w:rPr>
          <w:rFonts w:ascii="Times New Roman" w:eastAsia="Times New Roman" w:hAnsi="Times New Roman" w:cs="Times New Roman"/>
          <w:color w:val="000000"/>
        </w:rPr>
      </w:pPr>
      <w:r w:rsidRPr="00A47E07">
        <w:rPr>
          <w:rFonts w:ascii="Times New Roman" w:eastAsia="Times New Roman" w:hAnsi="Times New Roman" w:cs="Times New Roman"/>
          <w:color w:val="000000"/>
        </w:rPr>
        <w:t xml:space="preserve">International experiences through learning mobility improve the quality of learning outcomes in </w:t>
      </w:r>
      <w:r w:rsidRPr="00BC12CA">
        <w:rPr>
          <w:rFonts w:ascii="Times New Roman" w:eastAsia="Times New Roman" w:hAnsi="Times New Roman" w:cs="Times New Roman"/>
          <w:color w:val="000000"/>
        </w:rPr>
        <w:t>higher education. Public authorities and higher education institutions should ensure equal access for all to the learning opportunities offered by national and international learning and training mobility programmes and actively address obstacles to mobility for vulnerable, disadvantaged or underrepresented groups of students and staff.</w:t>
      </w:r>
    </w:p>
    <w:p w14:paraId="68011102" w14:textId="77777777" w:rsidR="00152FC0" w:rsidRPr="00A47E07" w:rsidRDefault="0080179B">
      <w:pPr>
        <w:numPr>
          <w:ilvl w:val="1"/>
          <w:numId w:val="7"/>
        </w:numPr>
        <w:pBdr>
          <w:top w:val="nil"/>
          <w:left w:val="nil"/>
          <w:bottom w:val="nil"/>
          <w:right w:val="nil"/>
          <w:between w:val="nil"/>
        </w:pBdr>
        <w:jc w:val="both"/>
        <w:rPr>
          <w:rFonts w:ascii="Times New Roman" w:eastAsia="Times New Roman" w:hAnsi="Times New Roman" w:cs="Times New Roman"/>
          <w:color w:val="000000"/>
        </w:rPr>
      </w:pPr>
      <w:r w:rsidRPr="00BC12CA">
        <w:rPr>
          <w:rFonts w:ascii="Times New Roman" w:eastAsia="Times New Roman" w:hAnsi="Times New Roman" w:cs="Times New Roman"/>
          <w:color w:val="000000"/>
        </w:rPr>
        <w:lastRenderedPageBreak/>
        <w:t>Besides further support to physical mobility, including full portability of grants and loans across the EHEA, public authorities and higher education institutions should facilitate the use of information and communications technology (ICT) to support blended mobility and to foster internationalisation at home by embedding international online cooperation into courses. Blended mobility is the combination of a period of physical mobility and a period of online learning. Such online cooperation can be used to extend the learning outcomes and enhance the impact of physical mobility, for example by bringing together</w:t>
      </w:r>
      <w:r w:rsidRPr="00A47E07">
        <w:rPr>
          <w:rFonts w:ascii="Times New Roman" w:eastAsia="Times New Roman" w:hAnsi="Times New Roman" w:cs="Times New Roman"/>
          <w:color w:val="000000"/>
        </w:rPr>
        <w:t xml:space="preserve"> a more diverse group of participants, or to offer a broader range of mobility options.</w:t>
      </w:r>
    </w:p>
    <w:p w14:paraId="0BF67583" w14:textId="77777777" w:rsidR="00152FC0" w:rsidRDefault="00152FC0">
      <w:pPr>
        <w:pBdr>
          <w:top w:val="nil"/>
          <w:left w:val="nil"/>
          <w:bottom w:val="nil"/>
          <w:right w:val="nil"/>
          <w:between w:val="nil"/>
        </w:pBdr>
        <w:ind w:left="1440"/>
        <w:jc w:val="both"/>
        <w:rPr>
          <w:rFonts w:ascii="Times New Roman" w:eastAsia="Times New Roman" w:hAnsi="Times New Roman" w:cs="Times New Roman"/>
          <w:color w:val="000000"/>
          <w:sz w:val="24"/>
          <w:szCs w:val="24"/>
        </w:rPr>
      </w:pPr>
    </w:p>
    <w:tbl>
      <w:tblPr>
        <w:tblStyle w:val="a7"/>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491B4A" w:rsidRPr="00491B4A" w14:paraId="66B69731" w14:textId="77777777" w:rsidTr="00491B4A">
        <w:tc>
          <w:tcPr>
            <w:tcW w:w="9010" w:type="dxa"/>
            <w:shd w:val="clear" w:color="auto" w:fill="auto"/>
          </w:tcPr>
          <w:p w14:paraId="1F4AE955" w14:textId="77777777" w:rsidR="00152FC0" w:rsidRDefault="0080179B">
            <w:pPr>
              <w:jc w:val="both"/>
              <w:rPr>
                <w:rFonts w:ascii="Times New Roman" w:eastAsia="Times New Roman" w:hAnsi="Times New Roman" w:cs="Times New Roman"/>
                <w:b/>
              </w:rPr>
            </w:pPr>
            <w:r w:rsidRPr="00491B4A">
              <w:rPr>
                <w:rFonts w:ascii="Times New Roman" w:eastAsia="Times New Roman" w:hAnsi="Times New Roman" w:cs="Times New Roman"/>
                <w:b/>
              </w:rPr>
              <w:t>Indicators</w:t>
            </w:r>
          </w:p>
          <w:p w14:paraId="0906D8C4" w14:textId="111CF760" w:rsidR="00491B4A" w:rsidRPr="00491B4A" w:rsidRDefault="00491B4A">
            <w:pPr>
              <w:jc w:val="both"/>
              <w:rPr>
                <w:rFonts w:ascii="Times New Roman" w:eastAsia="Times New Roman" w:hAnsi="Times New Roman" w:cs="Times New Roman"/>
                <w:b/>
              </w:rPr>
            </w:pPr>
          </w:p>
        </w:tc>
      </w:tr>
      <w:tr w:rsidR="00491B4A" w:rsidRPr="00491B4A" w14:paraId="38F2B418" w14:textId="77777777" w:rsidTr="00491B4A">
        <w:tc>
          <w:tcPr>
            <w:tcW w:w="9010" w:type="dxa"/>
            <w:shd w:val="clear" w:color="auto" w:fill="auto"/>
          </w:tcPr>
          <w:p w14:paraId="05D3114A" w14:textId="4D2483B5" w:rsidR="00152FC0" w:rsidRPr="00416407" w:rsidRDefault="0080179B">
            <w:pPr>
              <w:jc w:val="both"/>
              <w:rPr>
                <w:rFonts w:ascii="Times New Roman" w:eastAsia="Times New Roman" w:hAnsi="Times New Roman" w:cs="Times New Roman"/>
                <w:b/>
              </w:rPr>
            </w:pPr>
            <w:r w:rsidRPr="00416407">
              <w:rPr>
                <w:rFonts w:ascii="Times New Roman" w:eastAsia="Times New Roman" w:hAnsi="Times New Roman" w:cs="Times New Roman"/>
                <w:b/>
              </w:rPr>
              <w:t>1. Existence of top-level mobility policy focused on vulnerable, disadvantaged or underrepresented students and staff</w:t>
            </w:r>
            <w:r w:rsidR="00416407" w:rsidRPr="00416407">
              <w:rPr>
                <w:rFonts w:ascii="Times New Roman" w:eastAsia="Times New Roman" w:hAnsi="Times New Roman" w:cs="Times New Roman"/>
                <w:b/>
              </w:rPr>
              <w:t xml:space="preserve"> (Eurydice, 2022). </w:t>
            </w:r>
          </w:p>
          <w:p w14:paraId="0D4AF93C" w14:textId="5BDA3AA8" w:rsidR="00152FC0" w:rsidRPr="00491B4A" w:rsidRDefault="00BC12CA" w:rsidP="00820DC1">
            <w:pPr>
              <w:numPr>
                <w:ilvl w:val="0"/>
                <w:numId w:val="3"/>
              </w:numP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80179B" w:rsidRPr="00491B4A">
              <w:rPr>
                <w:rFonts w:ascii="Times New Roman" w:eastAsia="Times New Roman" w:hAnsi="Times New Roman" w:cs="Times New Roman"/>
                <w:bCs/>
              </w:rPr>
              <w:t xml:space="preserve"> </w:t>
            </w:r>
            <w:r w:rsidR="00416407">
              <w:rPr>
                <w:rFonts w:ascii="Times New Roman" w:eastAsia="Times New Roman" w:hAnsi="Times New Roman" w:cs="Times New Roman"/>
                <w:bCs/>
              </w:rPr>
              <w:t>has</w:t>
            </w:r>
            <w:r w:rsidR="0080179B" w:rsidRPr="00491B4A">
              <w:rPr>
                <w:rFonts w:ascii="Times New Roman" w:eastAsia="Times New Roman" w:hAnsi="Times New Roman" w:cs="Times New Roman"/>
                <w:bCs/>
              </w:rPr>
              <w:t xml:space="preserve"> developed an action plan with quantitative targets for stimulating international mobility of students and staff from vulnerable, disadvantaged and underrepresented groups.</w:t>
            </w:r>
          </w:p>
          <w:p w14:paraId="104832DD" w14:textId="20E613D6" w:rsidR="00152FC0" w:rsidRPr="00491B4A" w:rsidRDefault="00BC12CA" w:rsidP="00820DC1">
            <w:pPr>
              <w:numPr>
                <w:ilvl w:val="0"/>
                <w:numId w:val="3"/>
              </w:numP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80179B" w:rsidRPr="00491B4A">
              <w:rPr>
                <w:rFonts w:ascii="Times New Roman" w:eastAsia="Times New Roman" w:hAnsi="Times New Roman" w:cs="Times New Roman"/>
                <w:bCs/>
              </w:rPr>
              <w:t xml:space="preserve"> endorse</w:t>
            </w:r>
            <w:r w:rsidR="00416407">
              <w:rPr>
                <w:rFonts w:ascii="Times New Roman" w:eastAsia="Times New Roman" w:hAnsi="Times New Roman" w:cs="Times New Roman"/>
                <w:bCs/>
              </w:rPr>
              <w:t>s</w:t>
            </w:r>
            <w:r w:rsidR="0080179B" w:rsidRPr="00491B4A">
              <w:rPr>
                <w:rFonts w:ascii="Times New Roman" w:eastAsia="Times New Roman" w:hAnsi="Times New Roman" w:cs="Times New Roman"/>
                <w:bCs/>
              </w:rPr>
              <w:t xml:space="preserve"> </w:t>
            </w:r>
            <w:r w:rsidR="00D1003C">
              <w:rPr>
                <w:rFonts w:ascii="Times New Roman" w:eastAsia="Times New Roman" w:hAnsi="Times New Roman" w:cs="Times New Roman"/>
                <w:bCs/>
              </w:rPr>
              <w:t>and/</w:t>
            </w:r>
            <w:r w:rsidR="0080179B" w:rsidRPr="00491B4A">
              <w:rPr>
                <w:rFonts w:ascii="Times New Roman" w:eastAsia="Times New Roman" w:hAnsi="Times New Roman" w:cs="Times New Roman"/>
                <w:bCs/>
              </w:rPr>
              <w:t>or administer</w:t>
            </w:r>
            <w:r w:rsidR="00D1003C">
              <w:rPr>
                <w:rFonts w:ascii="Times New Roman" w:eastAsia="Times New Roman" w:hAnsi="Times New Roman" w:cs="Times New Roman"/>
                <w:bCs/>
              </w:rPr>
              <w:t>s</w:t>
            </w:r>
            <w:r w:rsidR="0080179B" w:rsidRPr="00491B4A">
              <w:rPr>
                <w:rFonts w:ascii="Times New Roman" w:eastAsia="Times New Roman" w:hAnsi="Times New Roman" w:cs="Times New Roman"/>
                <w:bCs/>
              </w:rPr>
              <w:t xml:space="preserve"> a variety of mobility programmes, in addition to Erasmus+ programmes, to suit different needs and aspirations of disadvantaged, vulnerable and underrepresented students (long-term and short-term mobilities, blended and virtual exchanges, joint study programmes at different levels, summer and winter schools, etc.).</w:t>
            </w:r>
          </w:p>
          <w:p w14:paraId="3CD40760" w14:textId="41059B19" w:rsidR="00152FC0" w:rsidRPr="00491B4A" w:rsidRDefault="00BC12CA" w:rsidP="00820DC1">
            <w:pPr>
              <w:numPr>
                <w:ilvl w:val="0"/>
                <w:numId w:val="3"/>
              </w:numP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80179B" w:rsidRPr="00491B4A">
              <w:rPr>
                <w:rFonts w:ascii="Times New Roman" w:eastAsia="Times New Roman" w:hAnsi="Times New Roman" w:cs="Times New Roman"/>
                <w:bCs/>
              </w:rPr>
              <w:t xml:space="preserve"> provides targeted</w:t>
            </w:r>
            <w:r w:rsidR="00D1003C">
              <w:rPr>
                <w:rFonts w:ascii="Times New Roman" w:eastAsia="Times New Roman" w:hAnsi="Times New Roman" w:cs="Times New Roman"/>
                <w:bCs/>
              </w:rPr>
              <w:t xml:space="preserve"> administrative and</w:t>
            </w:r>
            <w:r w:rsidR="0080179B" w:rsidRPr="00491B4A">
              <w:rPr>
                <w:rFonts w:ascii="Times New Roman" w:eastAsia="Times New Roman" w:hAnsi="Times New Roman" w:cs="Times New Roman"/>
                <w:bCs/>
              </w:rPr>
              <w:t xml:space="preserve"> financial support for students and staff from vulnerable, disadvantaged and underrepresented groups to help them participate in international mobility. </w:t>
            </w:r>
          </w:p>
          <w:p w14:paraId="2D2BC578" w14:textId="0B9F44CE" w:rsidR="00152FC0" w:rsidRDefault="0080179B" w:rsidP="00820DC1">
            <w:pPr>
              <w:numPr>
                <w:ilvl w:val="0"/>
                <w:numId w:val="3"/>
              </w:numPr>
              <w:jc w:val="both"/>
              <w:rPr>
                <w:rFonts w:ascii="Times New Roman" w:eastAsia="Times New Roman" w:hAnsi="Times New Roman" w:cs="Times New Roman"/>
                <w:bCs/>
              </w:rPr>
            </w:pPr>
            <w:r w:rsidRPr="00491B4A">
              <w:rPr>
                <w:rFonts w:ascii="Times New Roman" w:eastAsia="Times New Roman" w:hAnsi="Times New Roman" w:cs="Times New Roman"/>
                <w:bCs/>
              </w:rPr>
              <w:t>Public financial support</w:t>
            </w:r>
            <w:r w:rsidR="00142C31" w:rsidRPr="00491B4A">
              <w:rPr>
                <w:rFonts w:ascii="Times New Roman" w:eastAsia="Times New Roman" w:hAnsi="Times New Roman" w:cs="Times New Roman"/>
                <w:bCs/>
              </w:rPr>
              <w:t xml:space="preserve"> for students</w:t>
            </w:r>
            <w:r w:rsidR="003A2794">
              <w:rPr>
                <w:rFonts w:ascii="Times New Roman" w:eastAsia="Times New Roman" w:hAnsi="Times New Roman" w:cs="Times New Roman"/>
                <w:bCs/>
              </w:rPr>
              <w:t xml:space="preserve"> </w:t>
            </w:r>
            <w:r w:rsidRPr="00491B4A">
              <w:rPr>
                <w:rFonts w:ascii="Times New Roman" w:eastAsia="Times New Roman" w:hAnsi="Times New Roman" w:cs="Times New Roman"/>
                <w:bCs/>
              </w:rPr>
              <w:t>is fully portable across the EHEA</w:t>
            </w:r>
            <w:r w:rsidR="00D1003C">
              <w:rPr>
                <w:rFonts w:ascii="Times New Roman" w:eastAsia="Times New Roman" w:hAnsi="Times New Roman" w:cs="Times New Roman"/>
                <w:bCs/>
              </w:rPr>
              <w:t xml:space="preserve"> </w:t>
            </w:r>
            <w:r w:rsidR="00D1003C" w:rsidRPr="00D1003C">
              <w:rPr>
                <w:rFonts w:ascii="Times New Roman" w:eastAsia="Times New Roman" w:hAnsi="Times New Roman" w:cs="Times New Roman"/>
                <w:bCs/>
              </w:rPr>
              <w:t xml:space="preserve">while taking part in the </w:t>
            </w:r>
            <w:r w:rsidR="00E80B94">
              <w:rPr>
                <w:rFonts w:ascii="Times New Roman" w:eastAsia="Times New Roman" w:hAnsi="Times New Roman" w:cs="Times New Roman"/>
                <w:bCs/>
              </w:rPr>
              <w:t xml:space="preserve">international </w:t>
            </w:r>
            <w:r w:rsidR="00D1003C" w:rsidRPr="00D1003C">
              <w:rPr>
                <w:rFonts w:ascii="Times New Roman" w:eastAsia="Times New Roman" w:hAnsi="Times New Roman" w:cs="Times New Roman"/>
                <w:bCs/>
              </w:rPr>
              <w:t>mobility programmes</w:t>
            </w:r>
            <w:r w:rsidRPr="00491B4A">
              <w:rPr>
                <w:rFonts w:ascii="Times New Roman" w:eastAsia="Times New Roman" w:hAnsi="Times New Roman" w:cs="Times New Roman"/>
                <w:bCs/>
              </w:rPr>
              <w:t xml:space="preserve">. </w:t>
            </w:r>
          </w:p>
          <w:p w14:paraId="781F57D8" w14:textId="761421B0" w:rsidR="003A2794" w:rsidRPr="003A2794" w:rsidRDefault="00BC12CA" w:rsidP="00820DC1">
            <w:pPr>
              <w:numPr>
                <w:ilvl w:val="0"/>
                <w:numId w:val="3"/>
              </w:numP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3A2794" w:rsidRPr="003A2794">
              <w:rPr>
                <w:rFonts w:ascii="Times New Roman" w:eastAsia="Times New Roman" w:hAnsi="Times New Roman" w:cs="Times New Roman"/>
                <w:bCs/>
              </w:rPr>
              <w:t xml:space="preserve"> promotes international mobility opportunities through a variety of accessible and inclusive formats.</w:t>
            </w:r>
          </w:p>
          <w:p w14:paraId="47EF0DD6" w14:textId="384F4923" w:rsidR="00142C31" w:rsidRPr="00491B4A" w:rsidRDefault="00142C31" w:rsidP="00DD4DC5">
            <w:pPr>
              <w:ind w:left="720"/>
              <w:jc w:val="both"/>
              <w:rPr>
                <w:rFonts w:ascii="Times New Roman" w:eastAsia="Times New Roman" w:hAnsi="Times New Roman" w:cs="Times New Roman"/>
                <w:bCs/>
              </w:rPr>
            </w:pPr>
          </w:p>
        </w:tc>
      </w:tr>
      <w:tr w:rsidR="00491B4A" w:rsidRPr="00491B4A" w14:paraId="7710C70B" w14:textId="77777777" w:rsidTr="00491B4A">
        <w:tc>
          <w:tcPr>
            <w:tcW w:w="9010" w:type="dxa"/>
            <w:shd w:val="clear" w:color="auto" w:fill="auto"/>
          </w:tcPr>
          <w:p w14:paraId="43D55DC5" w14:textId="6DB889FF" w:rsidR="00F80E92" w:rsidRPr="00416407" w:rsidRDefault="0080179B">
            <w:pPr>
              <w:jc w:val="both"/>
              <w:rPr>
                <w:rFonts w:ascii="Times New Roman" w:eastAsia="Times New Roman" w:hAnsi="Times New Roman" w:cs="Times New Roman"/>
                <w:b/>
              </w:rPr>
            </w:pPr>
            <w:r w:rsidRPr="00416407">
              <w:rPr>
                <w:rFonts w:ascii="Times New Roman" w:eastAsia="Times New Roman" w:hAnsi="Times New Roman" w:cs="Times New Roman"/>
                <w:b/>
              </w:rPr>
              <w:t xml:space="preserve">2. </w:t>
            </w:r>
            <w:r w:rsidR="00BC2ED2">
              <w:rPr>
                <w:rFonts w:ascii="Times New Roman" w:eastAsia="Times New Roman" w:hAnsi="Times New Roman" w:cs="Times New Roman"/>
                <w:b/>
                <w:bCs/>
                <w:lang w:val="en-GB"/>
              </w:rPr>
              <w:t>Public authority</w:t>
            </w:r>
            <w:r w:rsidRPr="00416407">
              <w:rPr>
                <w:rFonts w:ascii="Times New Roman" w:eastAsia="Times New Roman" w:hAnsi="Times New Roman" w:cs="Times New Roman"/>
                <w:b/>
              </w:rPr>
              <w:t xml:space="preserve"> has a </w:t>
            </w:r>
            <w:r w:rsidR="00F80E92" w:rsidRPr="00416407">
              <w:rPr>
                <w:rFonts w:ascii="Times New Roman" w:eastAsia="Times New Roman" w:hAnsi="Times New Roman" w:cs="Times New Roman"/>
                <w:b/>
              </w:rPr>
              <w:t>standardized</w:t>
            </w:r>
            <w:r w:rsidRPr="00416407">
              <w:rPr>
                <w:rFonts w:ascii="Times New Roman" w:eastAsia="Times New Roman" w:hAnsi="Times New Roman" w:cs="Times New Roman"/>
                <w:b/>
              </w:rPr>
              <w:t xml:space="preserve"> methodology to collect data and monitor the participation and experiences of beneficiaries in all types of international mobility </w:t>
            </w:r>
            <w:r w:rsidR="00F80E92" w:rsidRPr="00416407">
              <w:rPr>
                <w:rFonts w:ascii="Times New Roman" w:eastAsia="Times New Roman" w:hAnsi="Times New Roman" w:cs="Times New Roman"/>
                <w:b/>
              </w:rPr>
              <w:t>programs</w:t>
            </w:r>
            <w:r w:rsidRPr="00416407">
              <w:rPr>
                <w:rFonts w:ascii="Times New Roman" w:eastAsia="Times New Roman" w:hAnsi="Times New Roman" w:cs="Times New Roman"/>
                <w:b/>
              </w:rPr>
              <w:t xml:space="preserve">, </w:t>
            </w:r>
            <w:r w:rsidR="00F80E92" w:rsidRPr="00416407">
              <w:rPr>
                <w:rFonts w:ascii="Times New Roman" w:eastAsia="Times New Roman" w:hAnsi="Times New Roman" w:cs="Times New Roman"/>
                <w:b/>
              </w:rPr>
              <w:t>including their background characteristics (e.g. disadvantaged, vulnerable and underrepresented</w:t>
            </w:r>
            <w:r w:rsidR="00E80B94">
              <w:rPr>
                <w:rFonts w:ascii="Times New Roman" w:eastAsia="Times New Roman" w:hAnsi="Times New Roman" w:cs="Times New Roman"/>
                <w:b/>
              </w:rPr>
              <w:t xml:space="preserve"> groups</w:t>
            </w:r>
            <w:r w:rsidR="00F80E92" w:rsidRPr="00416407">
              <w:rPr>
                <w:rFonts w:ascii="Times New Roman" w:eastAsia="Times New Roman" w:hAnsi="Times New Roman" w:cs="Times New Roman"/>
                <w:b/>
              </w:rPr>
              <w:t>).</w:t>
            </w:r>
          </w:p>
          <w:p w14:paraId="1266DE88" w14:textId="7288B65A" w:rsidR="00152FC0" w:rsidRPr="00491B4A" w:rsidRDefault="0080179B" w:rsidP="00820DC1">
            <w:pPr>
              <w:numPr>
                <w:ilvl w:val="0"/>
                <w:numId w:val="4"/>
              </w:numPr>
              <w:jc w:val="both"/>
              <w:rPr>
                <w:rFonts w:ascii="Times New Roman" w:eastAsia="Times New Roman" w:hAnsi="Times New Roman" w:cs="Times New Roman"/>
                <w:bCs/>
              </w:rPr>
            </w:pPr>
            <w:r w:rsidRPr="00491B4A">
              <w:rPr>
                <w:rFonts w:ascii="Times New Roman" w:eastAsia="Times New Roman" w:hAnsi="Times New Roman" w:cs="Times New Roman"/>
                <w:bCs/>
              </w:rPr>
              <w:t>Existence of top-level monitoring of specific characteristics of students and staff participating in international mobility programs</w:t>
            </w:r>
            <w:r w:rsidR="00416407">
              <w:rPr>
                <w:rFonts w:ascii="Times New Roman" w:eastAsia="Times New Roman" w:hAnsi="Times New Roman" w:cs="Times New Roman"/>
                <w:bCs/>
              </w:rPr>
              <w:t xml:space="preserve"> </w:t>
            </w:r>
            <w:r w:rsidR="00416407" w:rsidRPr="00491B4A">
              <w:rPr>
                <w:rFonts w:ascii="Times New Roman" w:eastAsia="Times New Roman" w:hAnsi="Times New Roman" w:cs="Times New Roman"/>
                <w:bCs/>
              </w:rPr>
              <w:t>(Eurydic</w:t>
            </w:r>
            <w:r w:rsidR="00416407">
              <w:rPr>
                <w:rFonts w:ascii="Times New Roman" w:eastAsia="Times New Roman" w:hAnsi="Times New Roman" w:cs="Times New Roman"/>
                <w:bCs/>
              </w:rPr>
              <w:t>e, 2022</w:t>
            </w:r>
            <w:r w:rsidR="00416407" w:rsidRPr="00491B4A">
              <w:rPr>
                <w:rFonts w:ascii="Times New Roman" w:eastAsia="Times New Roman" w:hAnsi="Times New Roman" w:cs="Times New Roman"/>
                <w:bCs/>
              </w:rPr>
              <w:t>)</w:t>
            </w:r>
            <w:r w:rsidRPr="00491B4A">
              <w:rPr>
                <w:rFonts w:ascii="Times New Roman" w:eastAsia="Times New Roman" w:hAnsi="Times New Roman" w:cs="Times New Roman"/>
                <w:bCs/>
              </w:rPr>
              <w:t>.</w:t>
            </w:r>
          </w:p>
          <w:p w14:paraId="293C1375" w14:textId="77777777" w:rsidR="00E26169" w:rsidRPr="00491B4A" w:rsidRDefault="0080179B" w:rsidP="00820DC1">
            <w:pPr>
              <w:numPr>
                <w:ilvl w:val="0"/>
                <w:numId w:val="4"/>
              </w:numPr>
              <w:jc w:val="both"/>
              <w:rPr>
                <w:rFonts w:ascii="Times New Roman" w:eastAsia="Times New Roman" w:hAnsi="Times New Roman" w:cs="Times New Roman"/>
                <w:bCs/>
              </w:rPr>
            </w:pPr>
            <w:r w:rsidRPr="00491B4A">
              <w:rPr>
                <w:rFonts w:ascii="Times New Roman" w:eastAsia="Times New Roman" w:hAnsi="Times New Roman" w:cs="Times New Roman"/>
                <w:bCs/>
              </w:rPr>
              <w:t xml:space="preserve">Existence of annual data collection on the enrolment, retention and graduation rates of international students and staff from underrepresented, disadvantaged and vulnerable backgrounds. </w:t>
            </w:r>
          </w:p>
          <w:p w14:paraId="0F73B0EB" w14:textId="1D9FD424" w:rsidR="00152FC0" w:rsidRPr="00491B4A" w:rsidRDefault="00E80B94" w:rsidP="00820DC1">
            <w:pPr>
              <w:numPr>
                <w:ilvl w:val="0"/>
                <w:numId w:val="4"/>
              </w:numPr>
              <w:jc w:val="both"/>
              <w:rPr>
                <w:rFonts w:ascii="Times New Roman" w:eastAsia="Times New Roman" w:hAnsi="Times New Roman" w:cs="Times New Roman"/>
                <w:bCs/>
              </w:rPr>
            </w:pPr>
            <w:r>
              <w:rPr>
                <w:rFonts w:ascii="Times New Roman" w:eastAsia="Times New Roman" w:hAnsi="Times New Roman" w:cs="Times New Roman"/>
                <w:bCs/>
              </w:rPr>
              <w:t>Existence of data collection</w:t>
            </w:r>
            <w:r w:rsidR="0080179B" w:rsidRPr="00491B4A">
              <w:rPr>
                <w:rFonts w:ascii="Times New Roman" w:eastAsia="Times New Roman" w:hAnsi="Times New Roman" w:cs="Times New Roman"/>
                <w:bCs/>
              </w:rPr>
              <w:t xml:space="preserve"> on the percentage of students and staff participating in physical vs. blended mobility, particularly in relation to underrepresented, disadvantaged and vulnerable students and staff.</w:t>
            </w:r>
          </w:p>
          <w:p w14:paraId="6456F2F9" w14:textId="0011354B" w:rsidR="00152FC0" w:rsidRPr="00491B4A" w:rsidRDefault="0080179B" w:rsidP="00820DC1">
            <w:pPr>
              <w:numPr>
                <w:ilvl w:val="0"/>
                <w:numId w:val="4"/>
              </w:numPr>
              <w:jc w:val="both"/>
              <w:rPr>
                <w:rFonts w:ascii="Times New Roman" w:eastAsia="Times New Roman" w:hAnsi="Times New Roman" w:cs="Times New Roman"/>
                <w:bCs/>
              </w:rPr>
            </w:pPr>
            <w:r w:rsidRPr="00491B4A">
              <w:rPr>
                <w:rFonts w:ascii="Times New Roman" w:eastAsia="Times New Roman" w:hAnsi="Times New Roman" w:cs="Times New Roman"/>
                <w:bCs/>
              </w:rPr>
              <w:t xml:space="preserve">Existence of annual national data collection on the financial support provided to underrepresented, disadvantaged and vulnerable students and staff for participating in international mobility programs. </w:t>
            </w:r>
          </w:p>
          <w:p w14:paraId="76B41EDC" w14:textId="77777777" w:rsidR="00152FC0" w:rsidRPr="00491B4A" w:rsidRDefault="00152FC0">
            <w:pPr>
              <w:jc w:val="both"/>
              <w:rPr>
                <w:rFonts w:ascii="Times New Roman" w:eastAsia="Times New Roman" w:hAnsi="Times New Roman" w:cs="Times New Roman"/>
                <w:bCs/>
              </w:rPr>
            </w:pPr>
          </w:p>
        </w:tc>
      </w:tr>
      <w:tr w:rsidR="00491B4A" w:rsidRPr="00491B4A" w14:paraId="7E2F77DA" w14:textId="77777777" w:rsidTr="00491B4A">
        <w:tc>
          <w:tcPr>
            <w:tcW w:w="9010" w:type="dxa"/>
            <w:shd w:val="clear" w:color="auto" w:fill="auto"/>
          </w:tcPr>
          <w:p w14:paraId="59B0EB34" w14:textId="2DFA19B4" w:rsidR="00152FC0" w:rsidRPr="00C7505B" w:rsidRDefault="0080179B">
            <w:pPr>
              <w:jc w:val="both"/>
              <w:rPr>
                <w:rFonts w:ascii="Times New Roman" w:eastAsia="Times New Roman" w:hAnsi="Times New Roman" w:cs="Times New Roman"/>
                <w:b/>
              </w:rPr>
            </w:pPr>
            <w:r w:rsidRPr="00C7505B">
              <w:rPr>
                <w:rFonts w:ascii="Times New Roman" w:eastAsia="Times New Roman" w:hAnsi="Times New Roman" w:cs="Times New Roman"/>
                <w:b/>
              </w:rPr>
              <w:t xml:space="preserve">3. </w:t>
            </w:r>
            <w:r w:rsidR="00BC2ED2">
              <w:rPr>
                <w:rFonts w:ascii="Times New Roman" w:eastAsia="Times New Roman" w:hAnsi="Times New Roman" w:cs="Times New Roman"/>
                <w:b/>
                <w:bCs/>
                <w:lang w:val="en-GB"/>
              </w:rPr>
              <w:t>Public authority</w:t>
            </w:r>
            <w:r w:rsidRPr="00C7505B">
              <w:rPr>
                <w:rFonts w:ascii="Times New Roman" w:eastAsia="Times New Roman" w:hAnsi="Times New Roman" w:cs="Times New Roman"/>
                <w:b/>
              </w:rPr>
              <w:t xml:space="preserve"> ha</w:t>
            </w:r>
            <w:r w:rsidR="00C7505B">
              <w:rPr>
                <w:rFonts w:ascii="Times New Roman" w:eastAsia="Times New Roman" w:hAnsi="Times New Roman" w:cs="Times New Roman"/>
                <w:b/>
              </w:rPr>
              <w:t>s me</w:t>
            </w:r>
            <w:r w:rsidRPr="00C7505B">
              <w:rPr>
                <w:rFonts w:ascii="Times New Roman" w:eastAsia="Times New Roman" w:hAnsi="Times New Roman" w:cs="Times New Roman"/>
                <w:b/>
              </w:rPr>
              <w:t>asures in place to support vulnerable, disadvantaged or underrepresented students and staff in international learning mobility</w:t>
            </w:r>
            <w:r w:rsidR="00C7505B" w:rsidRPr="00C7505B">
              <w:rPr>
                <w:rFonts w:ascii="Times New Roman" w:eastAsia="Times New Roman" w:hAnsi="Times New Roman" w:cs="Times New Roman"/>
                <w:b/>
              </w:rPr>
              <w:t xml:space="preserve"> (Eurydice, 2022)</w:t>
            </w:r>
            <w:r w:rsidRPr="00C7505B">
              <w:rPr>
                <w:rFonts w:ascii="Times New Roman" w:eastAsia="Times New Roman" w:hAnsi="Times New Roman" w:cs="Times New Roman"/>
                <w:b/>
              </w:rPr>
              <w:t xml:space="preserve">. </w:t>
            </w:r>
          </w:p>
          <w:p w14:paraId="733C0D9E" w14:textId="39052B68" w:rsidR="00152FC0" w:rsidRPr="00491B4A" w:rsidRDefault="00BC12CA">
            <w:pPr>
              <w:numPr>
                <w:ilvl w:val="0"/>
                <w:numId w:val="5"/>
              </w:numP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80179B" w:rsidRPr="00491B4A">
              <w:rPr>
                <w:rFonts w:ascii="Times New Roman" w:eastAsia="Times New Roman" w:hAnsi="Times New Roman" w:cs="Times New Roman"/>
                <w:bCs/>
              </w:rPr>
              <w:t xml:space="preserve"> provide</w:t>
            </w:r>
            <w:r w:rsidR="00C7505B">
              <w:rPr>
                <w:rFonts w:ascii="Times New Roman" w:eastAsia="Times New Roman" w:hAnsi="Times New Roman" w:cs="Times New Roman"/>
                <w:bCs/>
              </w:rPr>
              <w:t>s</w:t>
            </w:r>
            <w:r w:rsidR="0080179B" w:rsidRPr="00491B4A">
              <w:rPr>
                <w:rFonts w:ascii="Times New Roman" w:eastAsia="Times New Roman" w:hAnsi="Times New Roman" w:cs="Times New Roman"/>
                <w:bCs/>
              </w:rPr>
              <w:t xml:space="preserve"> </w:t>
            </w:r>
            <w:r w:rsidR="006E465D" w:rsidRPr="00491B4A">
              <w:rPr>
                <w:rFonts w:ascii="Times New Roman" w:eastAsia="Times New Roman" w:hAnsi="Times New Roman" w:cs="Times New Roman"/>
                <w:bCs/>
              </w:rPr>
              <w:t xml:space="preserve">professional training </w:t>
            </w:r>
            <w:r w:rsidR="0080179B" w:rsidRPr="00491B4A">
              <w:rPr>
                <w:rFonts w:ascii="Times New Roman" w:eastAsia="Times New Roman" w:hAnsi="Times New Roman" w:cs="Times New Roman"/>
                <w:bCs/>
              </w:rPr>
              <w:t xml:space="preserve">support to </w:t>
            </w:r>
            <w:r w:rsidR="00BC2ED2">
              <w:rPr>
                <w:rFonts w:ascii="Times New Roman" w:eastAsia="Times New Roman" w:hAnsi="Times New Roman" w:cs="Times New Roman"/>
                <w:bCs/>
              </w:rPr>
              <w:t>higher education institutions</w:t>
            </w:r>
            <w:r w:rsidR="0080179B" w:rsidRPr="00491B4A">
              <w:rPr>
                <w:rFonts w:ascii="Times New Roman" w:eastAsia="Times New Roman" w:hAnsi="Times New Roman" w:cs="Times New Roman"/>
                <w:bCs/>
              </w:rPr>
              <w:t xml:space="preserve"> on how to successfully organize </w:t>
            </w:r>
            <w:r w:rsidR="00BC2ED2">
              <w:rPr>
                <w:rFonts w:ascii="Times New Roman" w:eastAsia="Times New Roman" w:hAnsi="Times New Roman" w:cs="Times New Roman"/>
                <w:bCs/>
              </w:rPr>
              <w:t xml:space="preserve">international </w:t>
            </w:r>
            <w:r w:rsidR="003A2794">
              <w:rPr>
                <w:rFonts w:ascii="Times New Roman" w:eastAsia="Times New Roman" w:hAnsi="Times New Roman" w:cs="Times New Roman"/>
                <w:bCs/>
              </w:rPr>
              <w:t xml:space="preserve">learning mobility, in particular </w:t>
            </w:r>
            <w:r w:rsidR="0080179B" w:rsidRPr="00491B4A">
              <w:rPr>
                <w:rFonts w:ascii="Times New Roman" w:eastAsia="Times New Roman" w:hAnsi="Times New Roman" w:cs="Times New Roman"/>
                <w:bCs/>
              </w:rPr>
              <w:t xml:space="preserve">blended mobility and internationalization at home, along with the physical mobility. </w:t>
            </w:r>
          </w:p>
          <w:p w14:paraId="61E35D88" w14:textId="1B9FCBE9" w:rsidR="00152FC0" w:rsidRPr="00491B4A" w:rsidRDefault="00BC12CA">
            <w:pPr>
              <w:numPr>
                <w:ilvl w:val="0"/>
                <w:numId w:val="5"/>
              </w:numP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80179B" w:rsidRPr="00491B4A">
              <w:rPr>
                <w:rFonts w:ascii="Times New Roman" w:eastAsia="Times New Roman" w:hAnsi="Times New Roman" w:cs="Times New Roman"/>
                <w:bCs/>
              </w:rPr>
              <w:t xml:space="preserve"> provide</w:t>
            </w:r>
            <w:r w:rsidR="00C7505B">
              <w:rPr>
                <w:rFonts w:ascii="Times New Roman" w:eastAsia="Times New Roman" w:hAnsi="Times New Roman" w:cs="Times New Roman"/>
                <w:bCs/>
              </w:rPr>
              <w:t>s</w:t>
            </w:r>
            <w:r w:rsidR="0080179B" w:rsidRPr="00491B4A">
              <w:rPr>
                <w:rFonts w:ascii="Times New Roman" w:eastAsia="Times New Roman" w:hAnsi="Times New Roman" w:cs="Times New Roman"/>
                <w:bCs/>
              </w:rPr>
              <w:t xml:space="preserve"> </w:t>
            </w:r>
            <w:r w:rsidR="006E465D" w:rsidRPr="00491B4A">
              <w:rPr>
                <w:rFonts w:ascii="Times New Roman" w:eastAsia="Times New Roman" w:hAnsi="Times New Roman" w:cs="Times New Roman"/>
                <w:bCs/>
              </w:rPr>
              <w:t xml:space="preserve">funding </w:t>
            </w:r>
            <w:r w:rsidR="0080179B" w:rsidRPr="00491B4A">
              <w:rPr>
                <w:rFonts w:ascii="Times New Roman" w:eastAsia="Times New Roman" w:hAnsi="Times New Roman" w:cs="Times New Roman"/>
                <w:bCs/>
              </w:rPr>
              <w:t>support for the following: 1) guidance services, 2) mentoring services to enhance the performance and wellbeing of students and staff</w:t>
            </w:r>
            <w:r w:rsidR="00BC2ED2">
              <w:rPr>
                <w:rFonts w:ascii="Times New Roman" w:eastAsia="Times New Roman" w:hAnsi="Times New Roman" w:cs="Times New Roman"/>
                <w:bCs/>
              </w:rPr>
              <w:t>,</w:t>
            </w:r>
            <w:r w:rsidR="0080179B" w:rsidRPr="00491B4A">
              <w:rPr>
                <w:rFonts w:ascii="Times New Roman" w:eastAsia="Times New Roman" w:hAnsi="Times New Roman" w:cs="Times New Roman"/>
                <w:bCs/>
              </w:rPr>
              <w:t xml:space="preserve"> 3) </w:t>
            </w:r>
            <w:r w:rsidR="00BC2ED2" w:rsidRPr="00491B4A">
              <w:rPr>
                <w:rFonts w:ascii="Times New Roman" w:eastAsia="Times New Roman" w:hAnsi="Times New Roman" w:cs="Times New Roman"/>
                <w:bCs/>
              </w:rPr>
              <w:lastRenderedPageBreak/>
              <w:t>subsidized</w:t>
            </w:r>
            <w:r w:rsidR="0080179B" w:rsidRPr="00491B4A">
              <w:rPr>
                <w:rFonts w:ascii="Times New Roman" w:eastAsia="Times New Roman" w:hAnsi="Times New Roman" w:cs="Times New Roman"/>
                <w:bCs/>
              </w:rPr>
              <w:t xml:space="preserve"> accommodation and food/canteens services available and accessible at </w:t>
            </w:r>
            <w:r w:rsidR="00BC2ED2">
              <w:rPr>
                <w:rFonts w:ascii="Times New Roman" w:eastAsia="Times New Roman" w:hAnsi="Times New Roman" w:cs="Times New Roman"/>
                <w:bCs/>
              </w:rPr>
              <w:t>higher education institutions</w:t>
            </w:r>
            <w:r w:rsidR="0080179B" w:rsidRPr="00491B4A">
              <w:rPr>
                <w:rFonts w:ascii="Times New Roman" w:eastAsia="Times New Roman" w:hAnsi="Times New Roman" w:cs="Times New Roman"/>
                <w:bCs/>
              </w:rPr>
              <w:t xml:space="preserve"> for incoming and/or outgoing students and staff</w:t>
            </w:r>
            <w:r w:rsidR="00284C37">
              <w:rPr>
                <w:rFonts w:ascii="Times New Roman" w:eastAsia="Times New Roman" w:hAnsi="Times New Roman" w:cs="Times New Roman"/>
                <w:bCs/>
              </w:rPr>
              <w:t xml:space="preserve"> </w:t>
            </w:r>
            <w:r w:rsidR="00284C37" w:rsidRPr="00491B4A">
              <w:rPr>
                <w:rFonts w:ascii="Times New Roman" w:eastAsia="Times New Roman" w:hAnsi="Times New Roman" w:cs="Times New Roman"/>
                <w:bCs/>
              </w:rPr>
              <w:t>(Eurydice</w:t>
            </w:r>
            <w:r w:rsidR="00284C37">
              <w:rPr>
                <w:rFonts w:ascii="Times New Roman" w:eastAsia="Times New Roman" w:hAnsi="Times New Roman" w:cs="Times New Roman"/>
                <w:bCs/>
              </w:rPr>
              <w:t>, 2022</w:t>
            </w:r>
            <w:r w:rsidR="00284C37" w:rsidRPr="00491B4A">
              <w:rPr>
                <w:rFonts w:ascii="Times New Roman" w:eastAsia="Times New Roman" w:hAnsi="Times New Roman" w:cs="Times New Roman"/>
                <w:bCs/>
              </w:rPr>
              <w:t xml:space="preserve">).  </w:t>
            </w:r>
          </w:p>
          <w:p w14:paraId="6A88236A" w14:textId="47087C69" w:rsidR="00152FC0" w:rsidRPr="00491B4A" w:rsidRDefault="0080179B">
            <w:pPr>
              <w:numPr>
                <w:ilvl w:val="0"/>
                <w:numId w:val="5"/>
              </w:numPr>
              <w:jc w:val="both"/>
              <w:rPr>
                <w:rFonts w:ascii="Times New Roman" w:eastAsia="Times New Roman" w:hAnsi="Times New Roman" w:cs="Times New Roman"/>
                <w:bCs/>
              </w:rPr>
            </w:pPr>
            <w:r w:rsidRPr="00491B4A">
              <w:rPr>
                <w:rFonts w:ascii="Times New Roman" w:eastAsia="Times New Roman" w:hAnsi="Times New Roman" w:cs="Times New Roman"/>
                <w:bCs/>
              </w:rPr>
              <w:t xml:space="preserve">Top-level authorities provide support to higher education institutions on the use of the new technologies for successful participation in international mobility programs, particularly in blended mobility and </w:t>
            </w:r>
            <w:r w:rsidR="00C7505B" w:rsidRPr="00491B4A">
              <w:rPr>
                <w:rFonts w:ascii="Times New Roman" w:eastAsia="Times New Roman" w:hAnsi="Times New Roman" w:cs="Times New Roman"/>
                <w:bCs/>
              </w:rPr>
              <w:t>interna</w:t>
            </w:r>
            <w:r w:rsidR="00C7505B">
              <w:rPr>
                <w:rFonts w:ascii="Times New Roman" w:eastAsia="Times New Roman" w:hAnsi="Times New Roman" w:cs="Times New Roman"/>
                <w:bCs/>
              </w:rPr>
              <w:t>tiona</w:t>
            </w:r>
            <w:r w:rsidR="00C7505B" w:rsidRPr="00491B4A">
              <w:rPr>
                <w:rFonts w:ascii="Times New Roman" w:eastAsia="Times New Roman" w:hAnsi="Times New Roman" w:cs="Times New Roman"/>
                <w:bCs/>
              </w:rPr>
              <w:t>lization</w:t>
            </w:r>
            <w:r w:rsidRPr="00491B4A">
              <w:rPr>
                <w:rFonts w:ascii="Times New Roman" w:eastAsia="Times New Roman" w:hAnsi="Times New Roman" w:cs="Times New Roman"/>
                <w:bCs/>
              </w:rPr>
              <w:t xml:space="preserve"> at home</w:t>
            </w:r>
            <w:r w:rsidR="00C7505B">
              <w:rPr>
                <w:rFonts w:ascii="Times New Roman" w:eastAsia="Times New Roman" w:hAnsi="Times New Roman" w:cs="Times New Roman"/>
                <w:bCs/>
              </w:rPr>
              <w:t xml:space="preserve"> </w:t>
            </w:r>
            <w:r w:rsidR="00C7505B" w:rsidRPr="00491B4A">
              <w:rPr>
                <w:rFonts w:ascii="Times New Roman" w:eastAsia="Times New Roman" w:hAnsi="Times New Roman" w:cs="Times New Roman"/>
                <w:bCs/>
              </w:rPr>
              <w:t>(Eurydice</w:t>
            </w:r>
            <w:r w:rsidR="00C7505B">
              <w:rPr>
                <w:rFonts w:ascii="Times New Roman" w:eastAsia="Times New Roman" w:hAnsi="Times New Roman" w:cs="Times New Roman"/>
                <w:bCs/>
              </w:rPr>
              <w:t>, 2022</w:t>
            </w:r>
            <w:r w:rsidR="00C7505B" w:rsidRPr="00491B4A">
              <w:rPr>
                <w:rFonts w:ascii="Times New Roman" w:eastAsia="Times New Roman" w:hAnsi="Times New Roman" w:cs="Times New Roman"/>
                <w:bCs/>
              </w:rPr>
              <w:t>)</w:t>
            </w:r>
            <w:r w:rsidRPr="00491B4A">
              <w:rPr>
                <w:rFonts w:ascii="Times New Roman" w:eastAsia="Times New Roman" w:hAnsi="Times New Roman" w:cs="Times New Roman"/>
                <w:bCs/>
              </w:rPr>
              <w:t xml:space="preserve">.  </w:t>
            </w:r>
          </w:p>
          <w:p w14:paraId="03C380C3" w14:textId="77777777" w:rsidR="00152FC0" w:rsidRPr="00491B4A" w:rsidRDefault="00152FC0">
            <w:pPr>
              <w:jc w:val="both"/>
              <w:rPr>
                <w:rFonts w:ascii="Times New Roman" w:eastAsia="Times New Roman" w:hAnsi="Times New Roman" w:cs="Times New Roman"/>
                <w:bCs/>
              </w:rPr>
            </w:pPr>
          </w:p>
        </w:tc>
      </w:tr>
    </w:tbl>
    <w:p w14:paraId="0104C287" w14:textId="77777777" w:rsidR="00152FC0" w:rsidRPr="00A47E07" w:rsidRDefault="00152FC0">
      <w:pPr>
        <w:jc w:val="both"/>
        <w:rPr>
          <w:rFonts w:ascii="Times New Roman" w:eastAsia="Times New Roman" w:hAnsi="Times New Roman" w:cs="Times New Roman"/>
        </w:rPr>
      </w:pPr>
    </w:p>
    <w:tbl>
      <w:tblPr>
        <w:tblStyle w:val="a8"/>
        <w:tblW w:w="90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152FC0" w:rsidRPr="00A47E07" w14:paraId="66535425" w14:textId="77777777" w:rsidTr="00D034BE">
        <w:tc>
          <w:tcPr>
            <w:tcW w:w="9015" w:type="dxa"/>
            <w:shd w:val="clear" w:color="auto" w:fill="auto"/>
          </w:tcPr>
          <w:p w14:paraId="3FDC92F5" w14:textId="77777777" w:rsidR="00152FC0" w:rsidRDefault="0080179B">
            <w:pPr>
              <w:jc w:val="both"/>
              <w:rPr>
                <w:rFonts w:ascii="Times New Roman" w:eastAsia="Times New Roman" w:hAnsi="Times New Roman" w:cs="Times New Roman"/>
                <w:b/>
                <w:color w:val="000000"/>
                <w:sz w:val="22"/>
                <w:szCs w:val="22"/>
              </w:rPr>
            </w:pPr>
            <w:r w:rsidRPr="00A47E07">
              <w:rPr>
                <w:rFonts w:ascii="Times New Roman" w:eastAsia="Times New Roman" w:hAnsi="Times New Roman" w:cs="Times New Roman"/>
                <w:b/>
                <w:color w:val="000000"/>
                <w:sz w:val="22"/>
                <w:szCs w:val="22"/>
              </w:rPr>
              <w:t>Tools that can be used to support the implementation of this principle:</w:t>
            </w:r>
          </w:p>
          <w:p w14:paraId="2EA7617A" w14:textId="1E51B6C0" w:rsidR="00D034BE" w:rsidRPr="00A47E07" w:rsidRDefault="00D034BE">
            <w:pPr>
              <w:jc w:val="both"/>
              <w:rPr>
                <w:rFonts w:ascii="Times New Roman" w:eastAsia="Times New Roman" w:hAnsi="Times New Roman" w:cs="Times New Roman"/>
                <w:b/>
                <w:color w:val="000000"/>
                <w:sz w:val="22"/>
                <w:szCs w:val="22"/>
              </w:rPr>
            </w:pPr>
          </w:p>
        </w:tc>
      </w:tr>
      <w:tr w:rsidR="00152FC0" w:rsidRPr="00A47E07" w14:paraId="0D58FFC0" w14:textId="77777777">
        <w:tc>
          <w:tcPr>
            <w:tcW w:w="9015" w:type="dxa"/>
          </w:tcPr>
          <w:p w14:paraId="1808A294" w14:textId="4FFC390F" w:rsidR="00152FC0" w:rsidRDefault="0080179B">
            <w:pPr>
              <w:jc w:val="both"/>
              <w:rPr>
                <w:rFonts w:ascii="Times New Roman" w:eastAsia="Times New Roman" w:hAnsi="Times New Roman" w:cs="Times New Roman"/>
                <w:color w:val="000000"/>
                <w:sz w:val="22"/>
                <w:szCs w:val="22"/>
              </w:rPr>
            </w:pPr>
            <w:r w:rsidRPr="00A47E07">
              <w:rPr>
                <w:rFonts w:ascii="Times New Roman" w:eastAsia="Times New Roman" w:hAnsi="Times New Roman" w:cs="Times New Roman"/>
                <w:color w:val="000000"/>
                <w:sz w:val="22"/>
                <w:szCs w:val="22"/>
              </w:rPr>
              <w:t>The Inclusive Mobility Framework</w:t>
            </w:r>
            <w:r w:rsidR="00BC2ED2">
              <w:rPr>
                <w:rFonts w:ascii="Times New Roman" w:eastAsia="Times New Roman" w:hAnsi="Times New Roman" w:cs="Times New Roman"/>
                <w:color w:val="000000"/>
                <w:sz w:val="22"/>
                <w:szCs w:val="22"/>
              </w:rPr>
              <w:t>,</w:t>
            </w:r>
            <w:r w:rsidRPr="00A47E07">
              <w:rPr>
                <w:rFonts w:ascii="Times New Roman" w:eastAsia="Times New Roman" w:hAnsi="Times New Roman" w:cs="Times New Roman"/>
                <w:color w:val="000000"/>
                <w:sz w:val="22"/>
                <w:szCs w:val="22"/>
              </w:rPr>
              <w:t xml:space="preserve"> The Inclusive Mobility Toolbox</w:t>
            </w:r>
            <w:r w:rsidR="00BC2ED2">
              <w:rPr>
                <w:rFonts w:ascii="Times New Roman" w:eastAsia="Times New Roman" w:hAnsi="Times New Roman" w:cs="Times New Roman"/>
                <w:color w:val="000000"/>
                <w:sz w:val="22"/>
                <w:szCs w:val="22"/>
              </w:rPr>
              <w:t>,</w:t>
            </w:r>
            <w:r w:rsidRPr="00A47E07">
              <w:rPr>
                <w:rFonts w:ascii="Times New Roman" w:eastAsia="Times New Roman" w:hAnsi="Times New Roman" w:cs="Times New Roman"/>
                <w:color w:val="000000"/>
                <w:sz w:val="22"/>
                <w:szCs w:val="22"/>
              </w:rPr>
              <w:t xml:space="preserve"> The Inclusive Mobility Self-Assessment Tool</w:t>
            </w:r>
            <w:r w:rsidR="00D034BE">
              <w:rPr>
                <w:rFonts w:ascii="Times New Roman" w:eastAsia="Times New Roman" w:hAnsi="Times New Roman" w:cs="Times New Roman"/>
                <w:color w:val="000000"/>
                <w:sz w:val="22"/>
                <w:szCs w:val="22"/>
              </w:rPr>
              <w:t xml:space="preserve"> a</w:t>
            </w:r>
            <w:r w:rsidRPr="00A47E07">
              <w:rPr>
                <w:rFonts w:ascii="Times New Roman" w:eastAsia="Times New Roman" w:hAnsi="Times New Roman" w:cs="Times New Roman"/>
                <w:color w:val="000000"/>
                <w:sz w:val="22"/>
                <w:szCs w:val="22"/>
              </w:rPr>
              <w:t xml:space="preserve">vailable at </w:t>
            </w:r>
            <w:hyperlink r:id="rId10">
              <w:r w:rsidRPr="00A47E07">
                <w:rPr>
                  <w:rFonts w:ascii="Times New Roman" w:eastAsia="Times New Roman" w:hAnsi="Times New Roman" w:cs="Times New Roman"/>
                  <w:color w:val="0563C1"/>
                  <w:sz w:val="22"/>
                  <w:szCs w:val="22"/>
                  <w:u w:val="single"/>
                </w:rPr>
                <w:t>https://inclusivemobility.eu/</w:t>
              </w:r>
            </w:hyperlink>
            <w:r w:rsidRPr="00A47E07">
              <w:rPr>
                <w:rFonts w:ascii="Times New Roman" w:eastAsia="Times New Roman" w:hAnsi="Times New Roman" w:cs="Times New Roman"/>
                <w:color w:val="000000"/>
                <w:sz w:val="22"/>
                <w:szCs w:val="22"/>
              </w:rPr>
              <w:t xml:space="preserve"> </w:t>
            </w:r>
          </w:p>
          <w:p w14:paraId="366CF753" w14:textId="158485AB" w:rsidR="00D034BE" w:rsidRPr="00A47E07" w:rsidRDefault="00D034BE">
            <w:pPr>
              <w:jc w:val="both"/>
              <w:rPr>
                <w:rFonts w:ascii="Times New Roman" w:eastAsia="Times New Roman" w:hAnsi="Times New Roman" w:cs="Times New Roman"/>
                <w:color w:val="000000"/>
                <w:sz w:val="22"/>
                <w:szCs w:val="22"/>
              </w:rPr>
            </w:pPr>
          </w:p>
        </w:tc>
      </w:tr>
    </w:tbl>
    <w:p w14:paraId="434CD65E" w14:textId="77777777" w:rsidR="00152FC0" w:rsidRDefault="00152FC0">
      <w:pPr>
        <w:jc w:val="both"/>
        <w:rPr>
          <w:rFonts w:ascii="Times New Roman" w:eastAsia="Times New Roman" w:hAnsi="Times New Roman" w:cs="Times New Roman"/>
          <w:sz w:val="24"/>
          <w:szCs w:val="24"/>
        </w:rPr>
      </w:pPr>
    </w:p>
    <w:p w14:paraId="75C8B03B" w14:textId="77777777" w:rsidR="00152FC0" w:rsidRDefault="00152FC0" w:rsidP="00D6013A">
      <w:pPr>
        <w:shd w:val="clear" w:color="auto" w:fill="FFFFFF" w:themeFill="background1"/>
        <w:jc w:val="both"/>
        <w:rPr>
          <w:rFonts w:ascii="Times New Roman" w:eastAsia="Times New Roman" w:hAnsi="Times New Roman" w:cs="Times New Roman"/>
          <w:sz w:val="24"/>
          <w:szCs w:val="24"/>
        </w:rPr>
      </w:pPr>
    </w:p>
    <w:p w14:paraId="2F1DD0B4" w14:textId="77777777" w:rsidR="00152FC0" w:rsidRDefault="0080179B">
      <w:pPr>
        <w:numPr>
          <w:ilvl w:val="0"/>
          <w:numId w:val="7"/>
        </w:numPr>
        <w:pBdr>
          <w:top w:val="single" w:sz="4" w:space="1" w:color="000000"/>
          <w:left w:val="single" w:sz="4" w:space="4" w:color="000000"/>
          <w:bottom w:val="single" w:sz="4" w:space="1" w:color="000000"/>
          <w:right w:val="single" w:sz="4" w:space="4" w:color="000000"/>
          <w:between w:val="nil"/>
        </w:pBdr>
        <w:shd w:val="clear" w:color="auto" w:fill="5B9BD5" w:themeFill="accent5"/>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Higher education institutions should ensure that community engagement in higher education promotes diversity, equity and inclusion.</w:t>
      </w:r>
    </w:p>
    <w:p w14:paraId="25DC5A3D" w14:textId="77777777" w:rsidR="00152FC0" w:rsidRDefault="00152FC0">
      <w:pPr>
        <w:pBdr>
          <w:top w:val="nil"/>
          <w:left w:val="nil"/>
          <w:bottom w:val="nil"/>
          <w:right w:val="nil"/>
          <w:between w:val="nil"/>
        </w:pBdr>
        <w:ind w:left="720"/>
        <w:jc w:val="both"/>
        <w:rPr>
          <w:rFonts w:ascii="Times New Roman" w:eastAsia="Times New Roman" w:hAnsi="Times New Roman" w:cs="Times New Roman"/>
          <w:b/>
          <w:color w:val="000000"/>
          <w:sz w:val="24"/>
          <w:szCs w:val="24"/>
        </w:rPr>
      </w:pPr>
    </w:p>
    <w:p w14:paraId="117EAFA1" w14:textId="77777777" w:rsidR="00152FC0" w:rsidRPr="00A47E07" w:rsidRDefault="0080179B">
      <w:pPr>
        <w:pBdr>
          <w:top w:val="nil"/>
          <w:left w:val="nil"/>
          <w:bottom w:val="nil"/>
          <w:right w:val="nil"/>
          <w:between w:val="nil"/>
        </w:pBdr>
        <w:ind w:left="720"/>
        <w:jc w:val="both"/>
        <w:rPr>
          <w:rFonts w:ascii="Times New Roman" w:eastAsia="Times New Roman" w:hAnsi="Times New Roman" w:cs="Times New Roman"/>
          <w:b/>
          <w:color w:val="000000"/>
        </w:rPr>
      </w:pPr>
      <w:r w:rsidRPr="00A47E07">
        <w:rPr>
          <w:rFonts w:ascii="Times New Roman" w:eastAsia="Times New Roman" w:hAnsi="Times New Roman" w:cs="Times New Roman"/>
          <w:b/>
          <w:color w:val="000000"/>
        </w:rPr>
        <w:t>Guidelines:</w:t>
      </w:r>
    </w:p>
    <w:p w14:paraId="44246252" w14:textId="77777777" w:rsidR="00152FC0" w:rsidRPr="00A47E07" w:rsidRDefault="0080179B">
      <w:pPr>
        <w:numPr>
          <w:ilvl w:val="1"/>
          <w:numId w:val="7"/>
        </w:numPr>
        <w:pBdr>
          <w:top w:val="nil"/>
          <w:left w:val="nil"/>
          <w:bottom w:val="nil"/>
          <w:right w:val="nil"/>
          <w:between w:val="nil"/>
        </w:pBdr>
        <w:jc w:val="both"/>
        <w:rPr>
          <w:rFonts w:ascii="Times New Roman" w:eastAsia="Times New Roman" w:hAnsi="Times New Roman" w:cs="Times New Roman"/>
          <w:color w:val="000000"/>
        </w:rPr>
      </w:pPr>
      <w:r w:rsidRPr="00A47E07">
        <w:rPr>
          <w:rFonts w:ascii="Times New Roman" w:eastAsia="Times New Roman" w:hAnsi="Times New Roman" w:cs="Times New Roman"/>
          <w:color w:val="000000"/>
        </w:rPr>
        <w:t>Community engagement should be considered as a process whereby higher education institutions engage with external community stakeholders to undertake joint activities that can be mutually beneficial.</w:t>
      </w:r>
      <w:r w:rsidRPr="00A47E07">
        <w:rPr>
          <w:rFonts w:ascii="Times New Roman" w:eastAsia="Times New Roman" w:hAnsi="Times New Roman" w:cs="Times New Roman"/>
          <w:b/>
          <w:color w:val="000000"/>
        </w:rPr>
        <w:t xml:space="preserve"> </w:t>
      </w:r>
      <w:r w:rsidRPr="00A47E07">
        <w:rPr>
          <w:rFonts w:ascii="Times New Roman" w:eastAsia="Times New Roman" w:hAnsi="Times New Roman" w:cs="Times New Roman"/>
          <w:color w:val="000000"/>
        </w:rPr>
        <w:t>Like social dimension policies, community engagement should be embedded in core missions of higher education. It should engage with teaching and learning, research, service and knowledge exchange, students and staff and management of higher education institutions. Such engagement provides a holistic basis on which universities can address a broad range of societal needs, including those of vulnerable, disadvantaged and underrepresented groups, while enriching their teaching, research and other core functions.</w:t>
      </w:r>
    </w:p>
    <w:p w14:paraId="42DCAB6C" w14:textId="77777777" w:rsidR="00152FC0" w:rsidRPr="00A47E07" w:rsidRDefault="0080179B">
      <w:pPr>
        <w:numPr>
          <w:ilvl w:val="1"/>
          <w:numId w:val="7"/>
        </w:numPr>
        <w:pBdr>
          <w:top w:val="nil"/>
          <w:left w:val="nil"/>
          <w:bottom w:val="nil"/>
          <w:right w:val="nil"/>
          <w:between w:val="nil"/>
        </w:pBdr>
        <w:jc w:val="both"/>
        <w:rPr>
          <w:rFonts w:ascii="Times New Roman" w:eastAsia="Times New Roman" w:hAnsi="Times New Roman" w:cs="Times New Roman"/>
          <w:color w:val="000000"/>
        </w:rPr>
      </w:pPr>
      <w:r w:rsidRPr="00A47E07">
        <w:rPr>
          <w:rFonts w:ascii="Times New Roman" w:eastAsia="Times New Roman" w:hAnsi="Times New Roman" w:cs="Times New Roman"/>
          <w:color w:val="000000"/>
        </w:rPr>
        <w:t>Community stakeholders (e.g. local authorities, cultural organisations, non-governmental organisations, businesses, citizens) should be able to meaningfully engage with higher education actors through open dialogue. This will enable genuine university-community partnerships, which can effectively address social and democratic challenges.</w:t>
      </w:r>
    </w:p>
    <w:p w14:paraId="26A91A97" w14:textId="77777777" w:rsidR="00152FC0" w:rsidRDefault="00152FC0">
      <w:pPr>
        <w:jc w:val="both"/>
        <w:rPr>
          <w:rFonts w:ascii="Times New Roman" w:eastAsia="Times New Roman" w:hAnsi="Times New Roman" w:cs="Times New Roman"/>
          <w:sz w:val="24"/>
          <w:szCs w:val="24"/>
        </w:rPr>
      </w:pPr>
    </w:p>
    <w:tbl>
      <w:tblPr>
        <w:tblStyle w:val="a9"/>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611A54" w:rsidRPr="00611A54" w14:paraId="4EE59679" w14:textId="77777777" w:rsidTr="00284BAB">
        <w:tc>
          <w:tcPr>
            <w:tcW w:w="9010" w:type="dxa"/>
            <w:shd w:val="clear" w:color="auto" w:fill="auto"/>
          </w:tcPr>
          <w:p w14:paraId="13D890BA" w14:textId="77777777" w:rsidR="00152FC0" w:rsidRDefault="0080179B">
            <w:pPr>
              <w:jc w:val="both"/>
              <w:rPr>
                <w:rFonts w:ascii="Times New Roman" w:eastAsia="Times New Roman" w:hAnsi="Times New Roman" w:cs="Times New Roman"/>
                <w:b/>
              </w:rPr>
            </w:pPr>
            <w:r w:rsidRPr="00611A54">
              <w:rPr>
                <w:rFonts w:ascii="Times New Roman" w:eastAsia="Times New Roman" w:hAnsi="Times New Roman" w:cs="Times New Roman"/>
                <w:b/>
              </w:rPr>
              <w:t>Indicators</w:t>
            </w:r>
          </w:p>
          <w:p w14:paraId="406DC9DA" w14:textId="087BE3A3" w:rsidR="00611A54" w:rsidRPr="00611A54" w:rsidRDefault="00611A54">
            <w:pPr>
              <w:jc w:val="both"/>
              <w:rPr>
                <w:rFonts w:ascii="Times New Roman" w:eastAsia="Times New Roman" w:hAnsi="Times New Roman" w:cs="Times New Roman"/>
                <w:b/>
              </w:rPr>
            </w:pPr>
          </w:p>
        </w:tc>
      </w:tr>
      <w:tr w:rsidR="00604BF6" w:rsidRPr="00611A54" w14:paraId="380E54FE" w14:textId="77777777" w:rsidTr="00284BAB">
        <w:tc>
          <w:tcPr>
            <w:tcW w:w="9010" w:type="dxa"/>
            <w:shd w:val="clear" w:color="auto" w:fill="auto"/>
          </w:tcPr>
          <w:p w14:paraId="6C419711" w14:textId="77777777" w:rsidR="00604BF6" w:rsidRPr="00611A54" w:rsidRDefault="00604BF6" w:rsidP="00604BF6">
            <w:pPr>
              <w:jc w:val="both"/>
              <w:rPr>
                <w:rFonts w:ascii="Times New Roman" w:eastAsia="Times New Roman" w:hAnsi="Times New Roman" w:cs="Times New Roman"/>
                <w:b/>
              </w:rPr>
            </w:pPr>
            <w:r>
              <w:rPr>
                <w:rFonts w:ascii="Times New Roman" w:eastAsia="Times New Roman" w:hAnsi="Times New Roman" w:cs="Times New Roman"/>
                <w:b/>
              </w:rPr>
              <w:t xml:space="preserve">1. </w:t>
            </w:r>
            <w:r w:rsidRPr="00611A54">
              <w:rPr>
                <w:rFonts w:ascii="Times New Roman" w:eastAsia="Times New Roman" w:hAnsi="Times New Roman" w:cs="Times New Roman"/>
                <w:b/>
              </w:rPr>
              <w:t>Top-level authorities provide financial support to higher education institutions in developing community engagement activities focused on diversity, equity and inclusion (Eurydice, 2022).</w:t>
            </w:r>
          </w:p>
          <w:p w14:paraId="0580C4E6" w14:textId="77777777" w:rsidR="00604BF6" w:rsidRPr="00611A54" w:rsidRDefault="00604BF6">
            <w:pPr>
              <w:jc w:val="both"/>
              <w:rPr>
                <w:rFonts w:ascii="Times New Roman" w:eastAsia="Times New Roman" w:hAnsi="Times New Roman" w:cs="Times New Roman"/>
                <w:b/>
              </w:rPr>
            </w:pPr>
          </w:p>
        </w:tc>
      </w:tr>
      <w:tr w:rsidR="00625D11" w:rsidRPr="00611A54" w14:paraId="5085D556" w14:textId="77777777" w:rsidTr="00284BAB">
        <w:tc>
          <w:tcPr>
            <w:tcW w:w="9010" w:type="dxa"/>
            <w:shd w:val="clear" w:color="auto" w:fill="auto"/>
          </w:tcPr>
          <w:p w14:paraId="66767AB0" w14:textId="2692E780" w:rsidR="00017E32" w:rsidRPr="00625D11" w:rsidRDefault="00017E32" w:rsidP="00017E32">
            <w:pPr>
              <w:jc w:val="both"/>
              <w:rPr>
                <w:rFonts w:ascii="Times New Roman" w:eastAsia="Times New Roman" w:hAnsi="Times New Roman" w:cs="Times New Roman"/>
                <w:b/>
              </w:rPr>
            </w:pPr>
            <w:r w:rsidRPr="00625D11">
              <w:rPr>
                <w:rFonts w:ascii="Times New Roman" w:eastAsia="Times New Roman" w:hAnsi="Times New Roman" w:cs="Times New Roman"/>
                <w:b/>
              </w:rPr>
              <w:t xml:space="preserve">2. </w:t>
            </w:r>
            <w:r w:rsidR="0097046E">
              <w:rPr>
                <w:rFonts w:ascii="Times New Roman" w:eastAsia="Times New Roman" w:hAnsi="Times New Roman" w:cs="Times New Roman"/>
                <w:b/>
                <w:bCs/>
                <w:lang w:val="en-GB"/>
              </w:rPr>
              <w:t>Public authority</w:t>
            </w:r>
            <w:r>
              <w:rPr>
                <w:rFonts w:ascii="Times New Roman" w:eastAsia="Times New Roman" w:hAnsi="Times New Roman" w:cs="Times New Roman"/>
                <w:b/>
              </w:rPr>
              <w:t xml:space="preserve"> supports </w:t>
            </w:r>
            <w:r w:rsidR="0097046E">
              <w:rPr>
                <w:rFonts w:ascii="Times New Roman" w:eastAsia="Times New Roman" w:hAnsi="Times New Roman" w:cs="Times New Roman"/>
                <w:b/>
              </w:rPr>
              <w:t>higher education institutions</w:t>
            </w:r>
            <w:r>
              <w:rPr>
                <w:rFonts w:ascii="Times New Roman" w:eastAsia="Times New Roman" w:hAnsi="Times New Roman" w:cs="Times New Roman"/>
                <w:b/>
              </w:rPr>
              <w:t xml:space="preserve"> to train their staff and students on how to increase </w:t>
            </w:r>
            <w:r w:rsidR="00DB7C13">
              <w:rPr>
                <w:rFonts w:ascii="Times New Roman" w:eastAsia="Times New Roman" w:hAnsi="Times New Roman" w:cs="Times New Roman"/>
                <w:b/>
              </w:rPr>
              <w:t xml:space="preserve">their </w:t>
            </w:r>
            <w:r>
              <w:rPr>
                <w:rFonts w:ascii="Times New Roman" w:eastAsia="Times New Roman" w:hAnsi="Times New Roman" w:cs="Times New Roman"/>
                <w:b/>
              </w:rPr>
              <w:t>community engagement</w:t>
            </w:r>
            <w:r w:rsidR="00DB7C13">
              <w:rPr>
                <w:rFonts w:ascii="Times New Roman" w:eastAsia="Times New Roman" w:hAnsi="Times New Roman" w:cs="Times New Roman"/>
                <w:b/>
              </w:rPr>
              <w:t xml:space="preserve"> </w:t>
            </w:r>
            <w:r w:rsidR="00DB7C13" w:rsidRPr="00611A54">
              <w:rPr>
                <w:rFonts w:ascii="Times New Roman" w:eastAsia="Times New Roman" w:hAnsi="Times New Roman" w:cs="Times New Roman"/>
                <w:b/>
              </w:rPr>
              <w:t>activities focused on diversity, equity and inclusion</w:t>
            </w:r>
            <w:r>
              <w:rPr>
                <w:rFonts w:ascii="Times New Roman" w:eastAsia="Times New Roman" w:hAnsi="Times New Roman" w:cs="Times New Roman"/>
                <w:b/>
              </w:rPr>
              <w:t>.</w:t>
            </w:r>
          </w:p>
          <w:p w14:paraId="73EE8E11" w14:textId="547F721D" w:rsidR="004962E5" w:rsidRPr="006E183A" w:rsidRDefault="0097046E" w:rsidP="004962E5">
            <w:pPr>
              <w:pStyle w:val="ListParagraph"/>
              <w:numPr>
                <w:ilvl w:val="0"/>
                <w:numId w:val="29"/>
              </w:numPr>
              <w:jc w:val="both"/>
              <w:rPr>
                <w:rFonts w:ascii="Times New Roman" w:eastAsia="Times New Roman" w:hAnsi="Times New Roman" w:cs="Times New Roman"/>
                <w:b/>
                <w:sz w:val="22"/>
                <w:szCs w:val="22"/>
              </w:rPr>
            </w:pPr>
            <w:r w:rsidRPr="00114B6D">
              <w:rPr>
                <w:rFonts w:ascii="Times New Roman" w:eastAsia="Times New Roman" w:hAnsi="Times New Roman" w:cs="Times New Roman"/>
                <w:bCs/>
                <w:sz w:val="22"/>
                <w:szCs w:val="22"/>
              </w:rPr>
              <w:t>Public authority</w:t>
            </w:r>
            <w:r w:rsidR="004962E5" w:rsidRPr="006E183A">
              <w:rPr>
                <w:rFonts w:ascii="Times New Roman" w:eastAsia="Times New Roman" w:hAnsi="Times New Roman" w:cs="Times New Roman"/>
                <w:bCs/>
                <w:sz w:val="22"/>
                <w:szCs w:val="22"/>
              </w:rPr>
              <w:t xml:space="preserve"> recommends specific tools for the reflection on and enhancement of different dimensions of community engagement at </w:t>
            </w:r>
            <w:r>
              <w:rPr>
                <w:rFonts w:ascii="Times New Roman" w:eastAsia="Times New Roman" w:hAnsi="Times New Roman" w:cs="Times New Roman"/>
                <w:bCs/>
              </w:rPr>
              <w:t>higher education institutions</w:t>
            </w:r>
            <w:r w:rsidR="004962E5" w:rsidRPr="006E183A">
              <w:rPr>
                <w:rFonts w:ascii="Times New Roman" w:eastAsia="Times New Roman" w:hAnsi="Times New Roman" w:cs="Times New Roman"/>
                <w:bCs/>
                <w:sz w:val="22"/>
                <w:szCs w:val="22"/>
              </w:rPr>
              <w:t>: 1) Teaching and Learning</w:t>
            </w:r>
            <w:r>
              <w:rPr>
                <w:rFonts w:ascii="Times New Roman" w:eastAsia="Times New Roman" w:hAnsi="Times New Roman" w:cs="Times New Roman"/>
                <w:bCs/>
                <w:sz w:val="22"/>
                <w:szCs w:val="22"/>
              </w:rPr>
              <w:t xml:space="preserve"> dimension</w:t>
            </w:r>
            <w:r w:rsidR="004962E5" w:rsidRPr="006E183A">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 xml:space="preserve">e.g. </w:t>
            </w:r>
            <w:r w:rsidR="004962E5" w:rsidRPr="006E183A">
              <w:rPr>
                <w:rFonts w:ascii="Times New Roman" w:eastAsia="Times New Roman" w:hAnsi="Times New Roman" w:cs="Times New Roman"/>
                <w:bCs/>
                <w:sz w:val="22"/>
                <w:szCs w:val="22"/>
              </w:rPr>
              <w:t>service-learning programmes); 2) Research</w:t>
            </w:r>
            <w:r>
              <w:rPr>
                <w:rFonts w:ascii="Times New Roman" w:eastAsia="Times New Roman" w:hAnsi="Times New Roman" w:cs="Times New Roman"/>
                <w:bCs/>
                <w:sz w:val="22"/>
                <w:szCs w:val="22"/>
              </w:rPr>
              <w:t xml:space="preserve"> dimension</w:t>
            </w:r>
            <w:r w:rsidR="004962E5" w:rsidRPr="006E183A">
              <w:rPr>
                <w:rFonts w:ascii="Times New Roman" w:eastAsia="Times New Roman" w:hAnsi="Times New Roman" w:cs="Times New Roman"/>
                <w:bCs/>
                <w:sz w:val="22"/>
                <w:szCs w:val="22"/>
              </w:rPr>
              <w:t>; 3) Service and Knowledge Exchange</w:t>
            </w:r>
            <w:r>
              <w:rPr>
                <w:rFonts w:ascii="Times New Roman" w:eastAsia="Times New Roman" w:hAnsi="Times New Roman" w:cs="Times New Roman"/>
                <w:bCs/>
                <w:sz w:val="22"/>
                <w:szCs w:val="22"/>
              </w:rPr>
              <w:t xml:space="preserve"> dimension</w:t>
            </w:r>
            <w:r w:rsidR="004962E5" w:rsidRPr="006E183A">
              <w:rPr>
                <w:rFonts w:ascii="Times New Roman" w:eastAsia="Times New Roman" w:hAnsi="Times New Roman" w:cs="Times New Roman"/>
                <w:bCs/>
                <w:sz w:val="22"/>
                <w:szCs w:val="22"/>
              </w:rPr>
              <w:t xml:space="preserve">; 4) </w:t>
            </w:r>
            <w:r>
              <w:rPr>
                <w:rFonts w:ascii="Times New Roman" w:eastAsia="Times New Roman" w:hAnsi="Times New Roman" w:cs="Times New Roman"/>
                <w:bCs/>
                <w:sz w:val="22"/>
                <w:szCs w:val="22"/>
              </w:rPr>
              <w:t>S</w:t>
            </w:r>
            <w:r w:rsidR="004962E5" w:rsidRPr="006E183A">
              <w:rPr>
                <w:rFonts w:ascii="Times New Roman" w:eastAsia="Times New Roman" w:hAnsi="Times New Roman" w:cs="Times New Roman"/>
                <w:bCs/>
                <w:sz w:val="22"/>
                <w:szCs w:val="22"/>
              </w:rPr>
              <w:t>tudents</w:t>
            </w:r>
            <w:r>
              <w:rPr>
                <w:rFonts w:ascii="Times New Roman" w:eastAsia="Times New Roman" w:hAnsi="Times New Roman" w:cs="Times New Roman"/>
                <w:bCs/>
                <w:sz w:val="22"/>
                <w:szCs w:val="22"/>
              </w:rPr>
              <w:t xml:space="preserve"> dimension</w:t>
            </w:r>
            <w:r w:rsidR="004962E5" w:rsidRPr="006E183A">
              <w:rPr>
                <w:rFonts w:ascii="Times New Roman" w:eastAsia="Times New Roman" w:hAnsi="Times New Roman" w:cs="Times New Roman"/>
                <w:bCs/>
                <w:sz w:val="22"/>
                <w:szCs w:val="22"/>
              </w:rPr>
              <w:t xml:space="preserve">; 5) </w:t>
            </w:r>
            <w:r>
              <w:rPr>
                <w:rFonts w:ascii="Times New Roman" w:eastAsia="Times New Roman" w:hAnsi="Times New Roman" w:cs="Times New Roman"/>
                <w:bCs/>
                <w:sz w:val="22"/>
                <w:szCs w:val="22"/>
              </w:rPr>
              <w:t>Staff dimension</w:t>
            </w:r>
            <w:r w:rsidR="00E67140">
              <w:rPr>
                <w:rFonts w:ascii="Times New Roman" w:eastAsia="Times New Roman" w:hAnsi="Times New Roman" w:cs="Times New Roman"/>
                <w:bCs/>
                <w:sz w:val="22"/>
                <w:szCs w:val="22"/>
              </w:rPr>
              <w:t>;</w:t>
            </w:r>
            <w:r w:rsidR="004962E5" w:rsidRPr="006E183A">
              <w:rPr>
                <w:rFonts w:ascii="Times New Roman" w:eastAsia="Times New Roman" w:hAnsi="Times New Roman" w:cs="Times New Roman"/>
                <w:bCs/>
                <w:sz w:val="22"/>
                <w:szCs w:val="22"/>
              </w:rPr>
              <w:t xml:space="preserve"> 6) Governance</w:t>
            </w:r>
            <w:r>
              <w:rPr>
                <w:rFonts w:ascii="Times New Roman" w:eastAsia="Times New Roman" w:hAnsi="Times New Roman" w:cs="Times New Roman"/>
                <w:bCs/>
                <w:sz w:val="22"/>
                <w:szCs w:val="22"/>
              </w:rPr>
              <w:t xml:space="preserve"> of higher education institutions dimension</w:t>
            </w:r>
            <w:r w:rsidR="004962E5" w:rsidRPr="006E183A">
              <w:rPr>
                <w:rFonts w:ascii="Times New Roman" w:eastAsia="Times New Roman" w:hAnsi="Times New Roman" w:cs="Times New Roman"/>
                <w:bCs/>
                <w:sz w:val="22"/>
                <w:szCs w:val="22"/>
              </w:rPr>
              <w:t>; 7) Management</w:t>
            </w:r>
            <w:r>
              <w:rPr>
                <w:rFonts w:ascii="Times New Roman" w:eastAsia="Times New Roman" w:hAnsi="Times New Roman" w:cs="Times New Roman"/>
                <w:bCs/>
                <w:sz w:val="22"/>
                <w:szCs w:val="22"/>
              </w:rPr>
              <w:t xml:space="preserve"> of higher education institutions dimension.</w:t>
            </w:r>
          </w:p>
          <w:p w14:paraId="622C1746" w14:textId="77777777" w:rsidR="00625D11" w:rsidRDefault="00625D11" w:rsidP="00604BF6">
            <w:pPr>
              <w:jc w:val="both"/>
              <w:rPr>
                <w:rFonts w:ascii="Times New Roman" w:eastAsia="Times New Roman" w:hAnsi="Times New Roman" w:cs="Times New Roman"/>
                <w:b/>
              </w:rPr>
            </w:pPr>
          </w:p>
        </w:tc>
      </w:tr>
      <w:tr w:rsidR="00625D11" w:rsidRPr="00611A54" w14:paraId="0E713DD9" w14:textId="77777777" w:rsidTr="00284BAB">
        <w:tc>
          <w:tcPr>
            <w:tcW w:w="9010" w:type="dxa"/>
            <w:shd w:val="clear" w:color="auto" w:fill="auto"/>
          </w:tcPr>
          <w:p w14:paraId="0139F3DC" w14:textId="024624D0" w:rsidR="00625D11" w:rsidRPr="00625D11" w:rsidRDefault="00625D11" w:rsidP="00625D11">
            <w:pPr>
              <w:jc w:val="both"/>
              <w:rPr>
                <w:rFonts w:ascii="Times New Roman" w:eastAsia="Times New Roman" w:hAnsi="Times New Roman" w:cs="Times New Roman"/>
                <w:b/>
              </w:rPr>
            </w:pPr>
            <w:r w:rsidRPr="00625D11">
              <w:rPr>
                <w:rFonts w:ascii="Times New Roman" w:eastAsia="Times New Roman" w:hAnsi="Times New Roman" w:cs="Times New Roman"/>
                <w:b/>
              </w:rPr>
              <w:t xml:space="preserve">3. </w:t>
            </w:r>
            <w:r w:rsidR="0097046E">
              <w:rPr>
                <w:rFonts w:ascii="Times New Roman" w:eastAsia="Times New Roman" w:hAnsi="Times New Roman" w:cs="Times New Roman"/>
                <w:b/>
                <w:bCs/>
                <w:lang w:val="en-GB"/>
              </w:rPr>
              <w:t>Public authority</w:t>
            </w:r>
            <w:r w:rsidRPr="00625D11">
              <w:rPr>
                <w:rFonts w:ascii="Times New Roman" w:eastAsia="Times New Roman" w:hAnsi="Times New Roman" w:cs="Times New Roman"/>
                <w:b/>
              </w:rPr>
              <w:t xml:space="preserve"> initiates and supports network at the local, regional or national level for both staff and students in order to</w:t>
            </w:r>
            <w:r w:rsidR="00C8573B">
              <w:rPr>
                <w:rFonts w:ascii="Times New Roman" w:eastAsia="Times New Roman" w:hAnsi="Times New Roman" w:cs="Times New Roman"/>
                <w:b/>
              </w:rPr>
              <w:t xml:space="preserve"> involve,</w:t>
            </w:r>
            <w:r w:rsidRPr="00625D11">
              <w:rPr>
                <w:rFonts w:ascii="Times New Roman" w:eastAsia="Times New Roman" w:hAnsi="Times New Roman" w:cs="Times New Roman"/>
                <w:b/>
              </w:rPr>
              <w:t xml:space="preserve"> guide and assist them on how to best implement community engagement activities</w:t>
            </w:r>
            <w:r w:rsidR="0097046E">
              <w:rPr>
                <w:rFonts w:ascii="Times New Roman" w:eastAsia="Times New Roman" w:hAnsi="Times New Roman" w:cs="Times New Roman"/>
                <w:b/>
              </w:rPr>
              <w:t xml:space="preserve">, particularly those </w:t>
            </w:r>
            <w:r w:rsidR="0097046E" w:rsidRPr="00611A54">
              <w:rPr>
                <w:rFonts w:ascii="Times New Roman" w:eastAsia="Times New Roman" w:hAnsi="Times New Roman" w:cs="Times New Roman"/>
                <w:b/>
              </w:rPr>
              <w:t>focused on diversity, equity and inclusion</w:t>
            </w:r>
            <w:r w:rsidRPr="00625D11">
              <w:rPr>
                <w:rFonts w:ascii="Times New Roman" w:eastAsia="Times New Roman" w:hAnsi="Times New Roman" w:cs="Times New Roman"/>
                <w:b/>
              </w:rPr>
              <w:t xml:space="preserve">. </w:t>
            </w:r>
          </w:p>
          <w:p w14:paraId="275F94E0" w14:textId="358F5772" w:rsidR="00BE782F" w:rsidRPr="00BE782F" w:rsidRDefault="00BE782F" w:rsidP="003A2794">
            <w:pPr>
              <w:numPr>
                <w:ilvl w:val="0"/>
                <w:numId w:val="41"/>
              </w:numPr>
              <w:jc w:val="both"/>
              <w:rPr>
                <w:rFonts w:ascii="Times New Roman" w:eastAsia="Times New Roman" w:hAnsi="Times New Roman" w:cs="Times New Roman"/>
                <w:bCs/>
              </w:rPr>
            </w:pPr>
            <w:r w:rsidRPr="00BE782F">
              <w:rPr>
                <w:rFonts w:ascii="Times New Roman" w:eastAsia="Times New Roman" w:hAnsi="Times New Roman" w:cs="Times New Roman"/>
                <w:bCs/>
              </w:rPr>
              <w:lastRenderedPageBreak/>
              <w:t xml:space="preserve">Public authorities </w:t>
            </w:r>
            <w:r>
              <w:rPr>
                <w:rFonts w:ascii="Times New Roman" w:eastAsia="Times New Roman" w:hAnsi="Times New Roman" w:cs="Times New Roman"/>
                <w:bCs/>
              </w:rPr>
              <w:t>support</w:t>
            </w:r>
            <w:r w:rsidRPr="00BE782F">
              <w:rPr>
                <w:rFonts w:ascii="Times New Roman" w:eastAsia="Times New Roman" w:hAnsi="Times New Roman" w:cs="Times New Roman"/>
                <w:bCs/>
              </w:rPr>
              <w:t xml:space="preserve"> higher education institutions by creating cooperative national structures, securing the exchange of good practices, and facilitating peer learning and inter-institutional staff development</w:t>
            </w:r>
            <w:r>
              <w:rPr>
                <w:rFonts w:ascii="Times New Roman" w:eastAsia="Times New Roman" w:hAnsi="Times New Roman" w:cs="Times New Roman"/>
                <w:bCs/>
              </w:rPr>
              <w:t xml:space="preserve"> </w:t>
            </w:r>
            <w:r w:rsidRPr="00BE782F">
              <w:rPr>
                <w:rFonts w:ascii="Times New Roman" w:eastAsia="Times New Roman" w:hAnsi="Times New Roman" w:cs="Times New Roman"/>
                <w:bCs/>
              </w:rPr>
              <w:t>on how to best implement community engagement activities.</w:t>
            </w:r>
          </w:p>
          <w:p w14:paraId="4AC2DC10" w14:textId="78925EB6" w:rsidR="00625D11" w:rsidRPr="003A2794" w:rsidRDefault="0097046E" w:rsidP="003A2794">
            <w:pPr>
              <w:numPr>
                <w:ilvl w:val="0"/>
                <w:numId w:val="41"/>
              </w:numPr>
              <w:jc w:val="both"/>
              <w:rPr>
                <w:rFonts w:ascii="Times New Roman" w:eastAsia="Times New Roman" w:hAnsi="Times New Roman" w:cs="Times New Roman"/>
                <w:bCs/>
              </w:rPr>
            </w:pPr>
            <w:r w:rsidRPr="00114B6D">
              <w:rPr>
                <w:rFonts w:ascii="Times New Roman" w:eastAsia="Times New Roman" w:hAnsi="Times New Roman" w:cs="Times New Roman"/>
                <w:bCs/>
              </w:rPr>
              <w:t>Public authority</w:t>
            </w:r>
            <w:r w:rsidR="003A2794" w:rsidRPr="00BB5978">
              <w:rPr>
                <w:rFonts w:ascii="Times New Roman" w:eastAsia="Times New Roman" w:hAnsi="Times New Roman" w:cs="Times New Roman"/>
                <w:bCs/>
              </w:rPr>
              <w:t xml:space="preserve"> supports </w:t>
            </w:r>
            <w:r w:rsidR="003207E5">
              <w:rPr>
                <w:rFonts w:ascii="Times New Roman" w:eastAsia="Times New Roman" w:hAnsi="Times New Roman" w:cs="Times New Roman"/>
                <w:bCs/>
              </w:rPr>
              <w:t>networks which promote</w:t>
            </w:r>
            <w:r w:rsidR="003A2794" w:rsidRPr="00BB5978">
              <w:rPr>
                <w:rFonts w:ascii="Times New Roman" w:eastAsia="Times New Roman" w:hAnsi="Times New Roman" w:cs="Times New Roman"/>
                <w:bCs/>
              </w:rPr>
              <w:t xml:space="preserve"> and disseminat</w:t>
            </w:r>
            <w:r w:rsidR="003207E5">
              <w:rPr>
                <w:rFonts w:ascii="Times New Roman" w:eastAsia="Times New Roman" w:hAnsi="Times New Roman" w:cs="Times New Roman"/>
                <w:bCs/>
              </w:rPr>
              <w:t>e</w:t>
            </w:r>
            <w:r w:rsidR="003A2794" w:rsidRPr="00BB5978">
              <w:rPr>
                <w:rFonts w:ascii="Times New Roman" w:eastAsia="Times New Roman" w:hAnsi="Times New Roman" w:cs="Times New Roman"/>
                <w:bCs/>
              </w:rPr>
              <w:t xml:space="preserve"> good practices, </w:t>
            </w:r>
            <w:r w:rsidR="003207E5">
              <w:rPr>
                <w:rFonts w:ascii="Times New Roman" w:eastAsia="Times New Roman" w:hAnsi="Times New Roman" w:cs="Times New Roman"/>
                <w:bCs/>
              </w:rPr>
              <w:t xml:space="preserve">and which </w:t>
            </w:r>
            <w:r w:rsidR="003A2794" w:rsidRPr="00BB5978">
              <w:rPr>
                <w:rFonts w:ascii="Times New Roman" w:eastAsia="Times New Roman" w:hAnsi="Times New Roman" w:cs="Times New Roman"/>
                <w:bCs/>
              </w:rPr>
              <w:t>provid</w:t>
            </w:r>
            <w:r w:rsidR="003207E5">
              <w:rPr>
                <w:rFonts w:ascii="Times New Roman" w:eastAsia="Times New Roman" w:hAnsi="Times New Roman" w:cs="Times New Roman"/>
                <w:bCs/>
              </w:rPr>
              <w:t>e</w:t>
            </w:r>
            <w:r w:rsidR="003A2794" w:rsidRPr="00BB5978">
              <w:rPr>
                <w:rFonts w:ascii="Times New Roman" w:eastAsia="Times New Roman" w:hAnsi="Times New Roman" w:cs="Times New Roman"/>
                <w:bCs/>
              </w:rPr>
              <w:t xml:space="preserve"> awards for community engagement activities in higher education that foster diversity, equity and inclusion. </w:t>
            </w:r>
          </w:p>
          <w:p w14:paraId="369F0AE2" w14:textId="78ED82E1" w:rsidR="003A2794" w:rsidRDefault="003A2794" w:rsidP="00604BF6">
            <w:pPr>
              <w:jc w:val="both"/>
              <w:rPr>
                <w:rFonts w:ascii="Times New Roman" w:eastAsia="Times New Roman" w:hAnsi="Times New Roman" w:cs="Times New Roman"/>
                <w:b/>
              </w:rPr>
            </w:pPr>
          </w:p>
        </w:tc>
      </w:tr>
      <w:tr w:rsidR="00C810E6" w:rsidRPr="00611A54" w14:paraId="3704EA1F" w14:textId="77777777" w:rsidTr="00284BAB">
        <w:tc>
          <w:tcPr>
            <w:tcW w:w="9010" w:type="dxa"/>
            <w:shd w:val="clear" w:color="auto" w:fill="auto"/>
          </w:tcPr>
          <w:p w14:paraId="292E73EB" w14:textId="77777777" w:rsidR="00C810E6" w:rsidRDefault="00C810E6" w:rsidP="00D2206A">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4. Public authorities provides a legal framework which secures that community engagement activities of academic and administrative staff </w:t>
            </w:r>
            <w:r w:rsidR="00D2206A">
              <w:rPr>
                <w:rFonts w:ascii="Times New Roman" w:eastAsia="Times New Roman" w:hAnsi="Times New Roman" w:cs="Times New Roman"/>
                <w:b/>
              </w:rPr>
              <w:t xml:space="preserve">contribute to </w:t>
            </w:r>
            <w:r>
              <w:rPr>
                <w:rFonts w:ascii="Times New Roman" w:eastAsia="Times New Roman" w:hAnsi="Times New Roman" w:cs="Times New Roman"/>
                <w:b/>
              </w:rPr>
              <w:t xml:space="preserve">the advancement of their professional careers at higher education institutions. </w:t>
            </w:r>
          </w:p>
          <w:p w14:paraId="228781E3" w14:textId="06A8CC46" w:rsidR="00D2206A" w:rsidRPr="00E85D2C" w:rsidRDefault="00D2206A" w:rsidP="00D2206A">
            <w:pPr>
              <w:pStyle w:val="ListParagraph"/>
              <w:numPr>
                <w:ilvl w:val="0"/>
                <w:numId w:val="43"/>
              </w:numPr>
              <w:jc w:val="both"/>
              <w:rPr>
                <w:rFonts w:ascii="Times New Roman" w:eastAsia="Times New Roman" w:hAnsi="Times New Roman" w:cs="Times New Roman"/>
                <w:bCs/>
              </w:rPr>
            </w:pPr>
            <w:r w:rsidRPr="00D2206A">
              <w:rPr>
                <w:rFonts w:ascii="Times New Roman" w:eastAsia="Times New Roman" w:hAnsi="Times New Roman" w:cs="Times New Roman"/>
                <w:bCs/>
                <w:sz w:val="22"/>
                <w:szCs w:val="22"/>
              </w:rPr>
              <w:t xml:space="preserve">Community engagement </w:t>
            </w:r>
            <w:r>
              <w:rPr>
                <w:rFonts w:ascii="Times New Roman" w:eastAsia="Times New Roman" w:hAnsi="Times New Roman" w:cs="Times New Roman"/>
                <w:bCs/>
                <w:sz w:val="22"/>
                <w:szCs w:val="22"/>
              </w:rPr>
              <w:t xml:space="preserve">in higher education is valued </w:t>
            </w:r>
            <w:r w:rsidR="00E85D2C">
              <w:rPr>
                <w:rFonts w:ascii="Times New Roman" w:eastAsia="Times New Roman" w:hAnsi="Times New Roman" w:cs="Times New Roman"/>
                <w:bCs/>
                <w:sz w:val="22"/>
                <w:szCs w:val="22"/>
              </w:rPr>
              <w:t xml:space="preserve">at an equal level </w:t>
            </w:r>
            <w:r>
              <w:rPr>
                <w:rFonts w:ascii="Times New Roman" w:eastAsia="Times New Roman" w:hAnsi="Times New Roman" w:cs="Times New Roman"/>
                <w:bCs/>
                <w:sz w:val="22"/>
                <w:szCs w:val="22"/>
              </w:rPr>
              <w:t>as scientific</w:t>
            </w:r>
            <w:r w:rsidR="00E85D2C">
              <w:rPr>
                <w:rFonts w:ascii="Times New Roman" w:eastAsia="Times New Roman" w:hAnsi="Times New Roman" w:cs="Times New Roman"/>
                <w:bCs/>
                <w:sz w:val="22"/>
                <w:szCs w:val="22"/>
              </w:rPr>
              <w:t xml:space="preserve"> publishing and similar traditional requirements</w:t>
            </w:r>
            <w:r>
              <w:rPr>
                <w:rFonts w:ascii="Times New Roman" w:eastAsia="Times New Roman" w:hAnsi="Times New Roman" w:cs="Times New Roman"/>
                <w:bCs/>
                <w:sz w:val="22"/>
                <w:szCs w:val="22"/>
              </w:rPr>
              <w:t xml:space="preserve"> in the advancement of academic and administrative careers </w:t>
            </w:r>
            <w:r w:rsidR="00E85D2C">
              <w:rPr>
                <w:rFonts w:ascii="Times New Roman" w:eastAsia="Times New Roman" w:hAnsi="Times New Roman" w:cs="Times New Roman"/>
                <w:bCs/>
                <w:sz w:val="22"/>
                <w:szCs w:val="22"/>
              </w:rPr>
              <w:t>at</w:t>
            </w:r>
            <w:r>
              <w:rPr>
                <w:rFonts w:ascii="Times New Roman" w:eastAsia="Times New Roman" w:hAnsi="Times New Roman" w:cs="Times New Roman"/>
                <w:bCs/>
                <w:sz w:val="22"/>
                <w:szCs w:val="22"/>
              </w:rPr>
              <w:t xml:space="preserve"> higher education institutions</w:t>
            </w:r>
            <w:r w:rsidR="00E85D2C">
              <w:rPr>
                <w:rFonts w:ascii="Times New Roman" w:eastAsia="Times New Roman" w:hAnsi="Times New Roman" w:cs="Times New Roman"/>
                <w:bCs/>
                <w:sz w:val="22"/>
                <w:szCs w:val="22"/>
              </w:rPr>
              <w:t xml:space="preserve">. </w:t>
            </w:r>
          </w:p>
          <w:p w14:paraId="7DDA33DF" w14:textId="3A3BC87F" w:rsidR="00E85D2C" w:rsidRPr="00D2206A" w:rsidRDefault="00E85D2C" w:rsidP="00E85D2C">
            <w:pPr>
              <w:pStyle w:val="ListParagraph"/>
              <w:jc w:val="both"/>
              <w:rPr>
                <w:rFonts w:ascii="Times New Roman" w:eastAsia="Times New Roman" w:hAnsi="Times New Roman" w:cs="Times New Roman"/>
                <w:bCs/>
              </w:rPr>
            </w:pPr>
          </w:p>
        </w:tc>
      </w:tr>
      <w:tr w:rsidR="003207E5" w:rsidRPr="00611A54" w14:paraId="7EE12A08" w14:textId="77777777" w:rsidTr="00284BAB">
        <w:tc>
          <w:tcPr>
            <w:tcW w:w="9010" w:type="dxa"/>
            <w:shd w:val="clear" w:color="auto" w:fill="auto"/>
          </w:tcPr>
          <w:p w14:paraId="420F57A5" w14:textId="77777777" w:rsidR="003207E5" w:rsidRDefault="003207E5" w:rsidP="00625D11">
            <w:pPr>
              <w:jc w:val="both"/>
              <w:rPr>
                <w:rFonts w:ascii="Times New Roman" w:eastAsia="Times New Roman" w:hAnsi="Times New Roman" w:cs="Times New Roman"/>
                <w:b/>
              </w:rPr>
            </w:pPr>
            <w:r>
              <w:rPr>
                <w:rFonts w:ascii="Times New Roman" w:eastAsia="Times New Roman" w:hAnsi="Times New Roman" w:cs="Times New Roman"/>
                <w:b/>
              </w:rPr>
              <w:t xml:space="preserve">5. </w:t>
            </w:r>
            <w:r w:rsidRPr="008C708F">
              <w:rPr>
                <w:rFonts w:ascii="Times New Roman" w:eastAsia="Times New Roman" w:hAnsi="Times New Roman" w:cs="Times New Roman"/>
                <w:b/>
              </w:rPr>
              <w:t xml:space="preserve">Existence of </w:t>
            </w:r>
            <w:r>
              <w:rPr>
                <w:rFonts w:ascii="Times New Roman" w:eastAsia="Times New Roman" w:hAnsi="Times New Roman" w:cs="Times New Roman"/>
                <w:b/>
              </w:rPr>
              <w:t>requirements</w:t>
            </w:r>
            <w:r w:rsidRPr="008C708F">
              <w:rPr>
                <w:rFonts w:ascii="Times New Roman" w:eastAsia="Times New Roman" w:hAnsi="Times New Roman" w:cs="Times New Roman"/>
                <w:b/>
              </w:rPr>
              <w:t xml:space="preserve"> for external quality assurance agencies to evaluate community engagement activities of higher education institutions focused on diversity, equity, and inclusion (Eurydice, 2022).</w:t>
            </w:r>
          </w:p>
          <w:p w14:paraId="61A23A18" w14:textId="46E13197" w:rsidR="003207E5" w:rsidRPr="002222CB" w:rsidRDefault="003207E5" w:rsidP="003207E5">
            <w:pPr>
              <w:numPr>
                <w:ilvl w:val="0"/>
                <w:numId w:val="41"/>
              </w:numPr>
              <w:pBdr>
                <w:top w:val="nil"/>
                <w:left w:val="nil"/>
                <w:bottom w:val="nil"/>
                <w:right w:val="nil"/>
                <w:between w:val="nil"/>
              </w:pBdr>
              <w:jc w:val="both"/>
              <w:rPr>
                <w:rFonts w:ascii="Times New Roman" w:eastAsia="Times New Roman" w:hAnsi="Times New Roman" w:cs="Times New Roman"/>
                <w:bCs/>
              </w:rPr>
            </w:pPr>
            <w:r w:rsidRPr="009C7448">
              <w:rPr>
                <w:rFonts w:ascii="Times New Roman" w:eastAsia="Times New Roman" w:hAnsi="Times New Roman" w:cs="Times New Roman"/>
                <w:bCs/>
              </w:rPr>
              <w:t>Quality assurance agencies</w:t>
            </w:r>
            <w:r>
              <w:rPr>
                <w:rFonts w:ascii="Times New Roman" w:eastAsia="Times New Roman" w:hAnsi="Times New Roman" w:cs="Times New Roman"/>
                <w:bCs/>
              </w:rPr>
              <w:t xml:space="preserve"> have standards and criteria in their external evaluation procedures that check </w:t>
            </w:r>
            <w:r w:rsidRPr="00B93042">
              <w:rPr>
                <w:rFonts w:ascii="Times New Roman" w:eastAsia="Times New Roman" w:hAnsi="Times New Roman" w:cs="Times New Roman"/>
                <w:bCs/>
              </w:rPr>
              <w:t xml:space="preserve">whether </w:t>
            </w:r>
            <w:r>
              <w:rPr>
                <w:rFonts w:ascii="Times New Roman" w:eastAsia="Times New Roman" w:hAnsi="Times New Roman" w:cs="Times New Roman"/>
                <w:bCs/>
              </w:rPr>
              <w:t>higher education institutions</w:t>
            </w:r>
            <w:r w:rsidRPr="00B93042">
              <w:rPr>
                <w:rFonts w:ascii="Times New Roman" w:eastAsia="Times New Roman" w:hAnsi="Times New Roman" w:cs="Times New Roman"/>
                <w:bCs/>
              </w:rPr>
              <w:t xml:space="preserve"> have </w:t>
            </w:r>
            <w:r>
              <w:rPr>
                <w:rFonts w:ascii="Times New Roman" w:eastAsia="Times New Roman" w:hAnsi="Times New Roman" w:cs="Times New Roman"/>
                <w:bCs/>
              </w:rPr>
              <w:t>community engagement activities, particularly</w:t>
            </w:r>
            <w:r w:rsidRPr="003207E5">
              <w:rPr>
                <w:rFonts w:ascii="Times New Roman" w:eastAsia="Times New Roman" w:hAnsi="Times New Roman" w:cs="Times New Roman"/>
                <w:bCs/>
              </w:rPr>
              <w:t xml:space="preserve"> those focused on diversity, equity and inclusion.</w:t>
            </w:r>
          </w:p>
          <w:p w14:paraId="4CDE153A" w14:textId="0EA3EEDD" w:rsidR="003207E5" w:rsidRDefault="003207E5" w:rsidP="00625D11">
            <w:pPr>
              <w:jc w:val="both"/>
              <w:rPr>
                <w:rFonts w:ascii="Times New Roman" w:eastAsia="Times New Roman" w:hAnsi="Times New Roman" w:cs="Times New Roman"/>
                <w:b/>
              </w:rPr>
            </w:pPr>
          </w:p>
        </w:tc>
      </w:tr>
    </w:tbl>
    <w:p w14:paraId="4658355C" w14:textId="77777777" w:rsidR="00152FC0" w:rsidRDefault="00152FC0">
      <w:pPr>
        <w:jc w:val="both"/>
        <w:rPr>
          <w:rFonts w:ascii="Times New Roman" w:eastAsia="Times New Roman" w:hAnsi="Times New Roman" w:cs="Times New Roman"/>
          <w:sz w:val="24"/>
          <w:szCs w:val="24"/>
        </w:rPr>
      </w:pPr>
    </w:p>
    <w:tbl>
      <w:tblPr>
        <w:tblStyle w:val="aa"/>
        <w:tblW w:w="90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152FC0" w:rsidRPr="00A47E07" w14:paraId="4AB24E88" w14:textId="77777777" w:rsidTr="00E505E4">
        <w:tc>
          <w:tcPr>
            <w:tcW w:w="9015" w:type="dxa"/>
            <w:shd w:val="clear" w:color="auto" w:fill="auto"/>
          </w:tcPr>
          <w:p w14:paraId="4103D294" w14:textId="77777777" w:rsidR="00152FC0" w:rsidRPr="00A47E07" w:rsidRDefault="0080179B">
            <w:pPr>
              <w:jc w:val="both"/>
              <w:rPr>
                <w:rFonts w:ascii="Times New Roman" w:eastAsia="Times New Roman" w:hAnsi="Times New Roman" w:cs="Times New Roman"/>
                <w:b/>
                <w:color w:val="000000"/>
                <w:sz w:val="22"/>
                <w:szCs w:val="22"/>
              </w:rPr>
            </w:pPr>
            <w:r w:rsidRPr="00A47E07">
              <w:rPr>
                <w:rFonts w:ascii="Times New Roman" w:eastAsia="Times New Roman" w:hAnsi="Times New Roman" w:cs="Times New Roman"/>
                <w:b/>
                <w:color w:val="000000"/>
                <w:sz w:val="22"/>
                <w:szCs w:val="22"/>
              </w:rPr>
              <w:t xml:space="preserve">Tools that can be used to support the implementation of this principle: </w:t>
            </w:r>
          </w:p>
        </w:tc>
      </w:tr>
      <w:tr w:rsidR="00152FC0" w:rsidRPr="00A47E07" w14:paraId="1AF21351" w14:textId="77777777">
        <w:tc>
          <w:tcPr>
            <w:tcW w:w="9015" w:type="dxa"/>
          </w:tcPr>
          <w:p w14:paraId="357B9E49" w14:textId="77777777" w:rsidR="00152FC0" w:rsidRPr="00A47E07" w:rsidRDefault="0080179B">
            <w:pPr>
              <w:jc w:val="both"/>
              <w:rPr>
                <w:rFonts w:ascii="Times New Roman" w:eastAsia="Times New Roman" w:hAnsi="Times New Roman" w:cs="Times New Roman"/>
                <w:color w:val="000000"/>
                <w:sz w:val="22"/>
                <w:szCs w:val="22"/>
              </w:rPr>
            </w:pPr>
            <w:r w:rsidRPr="00A47E07">
              <w:rPr>
                <w:rFonts w:ascii="Times New Roman" w:eastAsia="Times New Roman" w:hAnsi="Times New Roman" w:cs="Times New Roman"/>
                <w:color w:val="000000"/>
                <w:sz w:val="22"/>
                <w:szCs w:val="22"/>
              </w:rPr>
              <w:t>TEFCE Toolbox: An Institutional Self-Reflection Framework for Community Engagement in Higher Education</w:t>
            </w:r>
          </w:p>
          <w:p w14:paraId="6274190E" w14:textId="77777777" w:rsidR="00152FC0" w:rsidRPr="00A47E07" w:rsidRDefault="0080179B">
            <w:pPr>
              <w:jc w:val="both"/>
              <w:rPr>
                <w:rFonts w:ascii="Times New Roman" w:eastAsia="Times New Roman" w:hAnsi="Times New Roman" w:cs="Times New Roman"/>
                <w:color w:val="000000"/>
                <w:sz w:val="22"/>
                <w:szCs w:val="22"/>
              </w:rPr>
            </w:pPr>
            <w:r w:rsidRPr="00A47E07">
              <w:rPr>
                <w:rFonts w:ascii="Times New Roman" w:eastAsia="Times New Roman" w:hAnsi="Times New Roman" w:cs="Times New Roman"/>
                <w:color w:val="000000"/>
                <w:sz w:val="22"/>
                <w:szCs w:val="22"/>
              </w:rPr>
              <w:t xml:space="preserve">Available at: </w:t>
            </w:r>
            <w:hyperlink r:id="rId11">
              <w:r w:rsidRPr="00A47E07">
                <w:rPr>
                  <w:rFonts w:ascii="Times New Roman" w:eastAsia="Times New Roman" w:hAnsi="Times New Roman" w:cs="Times New Roman"/>
                  <w:color w:val="0563C1"/>
                  <w:sz w:val="22"/>
                  <w:szCs w:val="22"/>
                  <w:u w:val="single"/>
                </w:rPr>
                <w:t>https://www.tefce.eu/toolbox</w:t>
              </w:r>
            </w:hyperlink>
            <w:r w:rsidRPr="00A47E07">
              <w:rPr>
                <w:rFonts w:ascii="Times New Roman" w:eastAsia="Times New Roman" w:hAnsi="Times New Roman" w:cs="Times New Roman"/>
                <w:color w:val="000000"/>
                <w:sz w:val="22"/>
                <w:szCs w:val="22"/>
              </w:rPr>
              <w:t xml:space="preserve"> </w:t>
            </w:r>
          </w:p>
        </w:tc>
      </w:tr>
      <w:tr w:rsidR="00152FC0" w:rsidRPr="00A47E07" w14:paraId="0CBF2A0E" w14:textId="77777777">
        <w:tc>
          <w:tcPr>
            <w:tcW w:w="9015" w:type="dxa"/>
          </w:tcPr>
          <w:p w14:paraId="53DBCD1C" w14:textId="77777777" w:rsidR="00152FC0" w:rsidRPr="00A47E07" w:rsidRDefault="0080179B">
            <w:pPr>
              <w:jc w:val="both"/>
              <w:rPr>
                <w:rFonts w:ascii="Times New Roman" w:eastAsia="Times New Roman" w:hAnsi="Times New Roman" w:cs="Times New Roman"/>
                <w:color w:val="000000"/>
                <w:sz w:val="22"/>
                <w:szCs w:val="22"/>
              </w:rPr>
            </w:pPr>
            <w:r w:rsidRPr="00A47E07">
              <w:rPr>
                <w:rFonts w:ascii="Times New Roman" w:eastAsia="Times New Roman" w:hAnsi="Times New Roman" w:cs="Times New Roman"/>
                <w:color w:val="000000"/>
                <w:sz w:val="22"/>
                <w:szCs w:val="22"/>
              </w:rPr>
              <w:t>UASIMAP Self-Reflection Tool (Mapping Regional Engagement Activities of European Universities of Applied Sciences)</w:t>
            </w:r>
          </w:p>
          <w:p w14:paraId="32589E56" w14:textId="77777777" w:rsidR="00152FC0" w:rsidRPr="00A47E07" w:rsidRDefault="0080179B">
            <w:pPr>
              <w:jc w:val="both"/>
              <w:rPr>
                <w:rFonts w:ascii="Times New Roman" w:eastAsia="Times New Roman" w:hAnsi="Times New Roman" w:cs="Times New Roman"/>
                <w:color w:val="000000"/>
                <w:sz w:val="22"/>
                <w:szCs w:val="22"/>
              </w:rPr>
            </w:pPr>
            <w:r w:rsidRPr="00A47E07">
              <w:rPr>
                <w:rFonts w:ascii="Times New Roman" w:eastAsia="Times New Roman" w:hAnsi="Times New Roman" w:cs="Times New Roman"/>
                <w:color w:val="000000"/>
                <w:sz w:val="22"/>
                <w:szCs w:val="22"/>
              </w:rPr>
              <w:t xml:space="preserve">Available at: </w:t>
            </w:r>
            <w:hyperlink r:id="rId12">
              <w:r w:rsidRPr="00A47E07">
                <w:rPr>
                  <w:rFonts w:ascii="Times New Roman" w:eastAsia="Times New Roman" w:hAnsi="Times New Roman" w:cs="Times New Roman"/>
                  <w:color w:val="0563C1"/>
                  <w:sz w:val="22"/>
                  <w:szCs w:val="22"/>
                  <w:u w:val="single"/>
                </w:rPr>
                <w:t>https://www.uasimap.eu/</w:t>
              </w:r>
            </w:hyperlink>
            <w:r w:rsidRPr="00A47E07">
              <w:rPr>
                <w:rFonts w:ascii="Times New Roman" w:eastAsia="Times New Roman" w:hAnsi="Times New Roman" w:cs="Times New Roman"/>
                <w:color w:val="000000"/>
                <w:sz w:val="22"/>
                <w:szCs w:val="22"/>
              </w:rPr>
              <w:t xml:space="preserve"> [work in progress]</w:t>
            </w:r>
          </w:p>
        </w:tc>
      </w:tr>
      <w:tr w:rsidR="00152FC0" w:rsidRPr="00A47E07" w14:paraId="025975DF" w14:textId="77777777">
        <w:tc>
          <w:tcPr>
            <w:tcW w:w="9015" w:type="dxa"/>
          </w:tcPr>
          <w:p w14:paraId="1CBD0247" w14:textId="77777777" w:rsidR="00152FC0" w:rsidRPr="00A47E07" w:rsidRDefault="0080179B">
            <w:pPr>
              <w:jc w:val="both"/>
              <w:rPr>
                <w:rFonts w:ascii="Times New Roman" w:eastAsia="Times New Roman" w:hAnsi="Times New Roman" w:cs="Times New Roman"/>
                <w:color w:val="000000"/>
                <w:sz w:val="22"/>
                <w:szCs w:val="22"/>
              </w:rPr>
            </w:pPr>
            <w:r w:rsidRPr="00A47E07">
              <w:rPr>
                <w:rFonts w:ascii="Times New Roman" w:eastAsia="Times New Roman" w:hAnsi="Times New Roman" w:cs="Times New Roman"/>
                <w:color w:val="000000"/>
                <w:sz w:val="22"/>
                <w:szCs w:val="22"/>
              </w:rPr>
              <w:t xml:space="preserve">Participate in the U-Multirank, because it has indicators on regional engagement. </w:t>
            </w:r>
          </w:p>
          <w:p w14:paraId="1A0D1132" w14:textId="77777777" w:rsidR="00152FC0" w:rsidRPr="00A47E07" w:rsidRDefault="0080179B">
            <w:pPr>
              <w:jc w:val="both"/>
              <w:rPr>
                <w:rFonts w:ascii="Times New Roman" w:eastAsia="Times New Roman" w:hAnsi="Times New Roman" w:cs="Times New Roman"/>
                <w:color w:val="000000"/>
                <w:sz w:val="22"/>
                <w:szCs w:val="22"/>
              </w:rPr>
            </w:pPr>
            <w:r w:rsidRPr="00A47E07">
              <w:rPr>
                <w:rFonts w:ascii="Times New Roman" w:eastAsia="Times New Roman" w:hAnsi="Times New Roman" w:cs="Times New Roman"/>
                <w:color w:val="000000"/>
                <w:sz w:val="22"/>
                <w:szCs w:val="22"/>
              </w:rPr>
              <w:t xml:space="preserve">Available at: </w:t>
            </w:r>
            <w:hyperlink r:id="rId13">
              <w:r w:rsidRPr="00A47E07">
                <w:rPr>
                  <w:rFonts w:ascii="Times New Roman" w:eastAsia="Times New Roman" w:hAnsi="Times New Roman" w:cs="Times New Roman"/>
                  <w:color w:val="0563C1"/>
                  <w:sz w:val="22"/>
                  <w:szCs w:val="22"/>
                  <w:u w:val="single"/>
                </w:rPr>
                <w:t>https://www.umultirank.org/</w:t>
              </w:r>
            </w:hyperlink>
            <w:r w:rsidRPr="00A47E07">
              <w:rPr>
                <w:rFonts w:ascii="Times New Roman" w:eastAsia="Times New Roman" w:hAnsi="Times New Roman" w:cs="Times New Roman"/>
                <w:color w:val="000000"/>
                <w:sz w:val="22"/>
                <w:szCs w:val="22"/>
              </w:rPr>
              <w:t xml:space="preserve"> </w:t>
            </w:r>
          </w:p>
        </w:tc>
      </w:tr>
      <w:tr w:rsidR="000C2DF9" w:rsidRPr="00A47E07" w14:paraId="0FE36790" w14:textId="77777777">
        <w:tc>
          <w:tcPr>
            <w:tcW w:w="9015" w:type="dxa"/>
          </w:tcPr>
          <w:p w14:paraId="7A119739" w14:textId="1347294C" w:rsidR="000C2DF9" w:rsidRPr="00A47E07" w:rsidRDefault="000C2DF9">
            <w:pPr>
              <w:jc w:val="both"/>
              <w:rPr>
                <w:rFonts w:ascii="Times New Roman" w:eastAsia="Times New Roman" w:hAnsi="Times New Roman" w:cs="Times New Roman"/>
                <w:color w:val="000000"/>
              </w:rPr>
            </w:pPr>
            <w:r w:rsidRPr="008102A5">
              <w:rPr>
                <w:rFonts w:ascii="Times New Roman" w:eastAsia="Times New Roman" w:hAnsi="Times New Roman" w:cs="Times New Roman"/>
                <w:color w:val="000000"/>
                <w:sz w:val="22"/>
                <w:szCs w:val="22"/>
              </w:rPr>
              <w:t>The Council of Europe has taken important steps in developing ‘local democratic mission of higher education’ by developing a particular focus on locality, and on values of democracy, human rights and a rule of law.</w:t>
            </w:r>
          </w:p>
        </w:tc>
      </w:tr>
    </w:tbl>
    <w:p w14:paraId="63716AA9" w14:textId="35DEE14C" w:rsidR="00152FC0" w:rsidRDefault="00152FC0">
      <w:pPr>
        <w:jc w:val="both"/>
        <w:rPr>
          <w:rFonts w:ascii="Times New Roman" w:eastAsia="Times New Roman" w:hAnsi="Times New Roman" w:cs="Times New Roman"/>
          <w:sz w:val="24"/>
          <w:szCs w:val="24"/>
        </w:rPr>
      </w:pPr>
    </w:p>
    <w:p w14:paraId="4275FDE5" w14:textId="032DDB75" w:rsidR="00940637" w:rsidRDefault="00940637">
      <w:pPr>
        <w:jc w:val="both"/>
        <w:rPr>
          <w:rFonts w:ascii="Times New Roman" w:eastAsia="Times New Roman" w:hAnsi="Times New Roman" w:cs="Times New Roman"/>
          <w:sz w:val="24"/>
          <w:szCs w:val="24"/>
        </w:rPr>
      </w:pPr>
    </w:p>
    <w:p w14:paraId="2F7D7DEC" w14:textId="6EEA93E0" w:rsidR="00D6013A" w:rsidRPr="00D6013A" w:rsidRDefault="00D6013A" w:rsidP="00D6013A">
      <w:pPr>
        <w:pBdr>
          <w:top w:val="single" w:sz="4" w:space="1" w:color="auto"/>
          <w:left w:val="single" w:sz="4" w:space="4" w:color="auto"/>
          <w:bottom w:val="single" w:sz="4" w:space="1" w:color="auto"/>
          <w:right w:val="single" w:sz="4" w:space="4" w:color="auto"/>
        </w:pBdr>
        <w:shd w:val="clear" w:color="auto" w:fill="70AD47" w:themeFill="accent6"/>
        <w:jc w:val="both"/>
        <w:rPr>
          <w:rFonts w:ascii="Times New Roman" w:hAnsi="Times New Roman" w:cs="Times New Roman"/>
          <w:b/>
        </w:rPr>
      </w:pPr>
      <w:bookmarkStart w:id="0" w:name="_Hlk19626599"/>
      <w:r>
        <w:rPr>
          <w:rFonts w:ascii="Times New Roman" w:hAnsi="Times New Roman" w:cs="Times New Roman"/>
          <w:b/>
        </w:rPr>
        <w:t xml:space="preserve">10. </w:t>
      </w:r>
      <w:r w:rsidRPr="00D6013A">
        <w:rPr>
          <w:rFonts w:ascii="Times New Roman" w:hAnsi="Times New Roman" w:cs="Times New Roman"/>
          <w:b/>
        </w:rPr>
        <w:t xml:space="preserve">Public authorities should engage in a policy dialogue with higher education institutions and other relevant stakeholders about how the above principles and guidelines can be translated and implemented both at national system and institutional level. </w:t>
      </w:r>
      <w:bookmarkEnd w:id="0"/>
    </w:p>
    <w:p w14:paraId="7C548AFE" w14:textId="77777777" w:rsidR="00D6013A" w:rsidRPr="00CA36A7" w:rsidRDefault="00D6013A" w:rsidP="00D6013A">
      <w:pPr>
        <w:pStyle w:val="ListParagraph"/>
        <w:contextualSpacing w:val="0"/>
        <w:jc w:val="both"/>
        <w:rPr>
          <w:rFonts w:ascii="Times New Roman" w:hAnsi="Times New Roman" w:cs="Times New Roman"/>
        </w:rPr>
      </w:pPr>
    </w:p>
    <w:p w14:paraId="52651E52" w14:textId="77777777" w:rsidR="00D6013A" w:rsidRPr="00CA36A7" w:rsidRDefault="00D6013A" w:rsidP="00D6013A">
      <w:pPr>
        <w:pStyle w:val="ListParagraph"/>
        <w:contextualSpacing w:val="0"/>
        <w:jc w:val="both"/>
        <w:rPr>
          <w:rStyle w:val="normaltextrun"/>
          <w:rFonts w:ascii="Times New Roman" w:hAnsi="Times New Roman" w:cs="Times New Roman"/>
          <w:b/>
        </w:rPr>
      </w:pPr>
      <w:r w:rsidRPr="00CA36A7">
        <w:rPr>
          <w:rFonts w:ascii="Times New Roman" w:hAnsi="Times New Roman" w:cs="Times New Roman"/>
          <w:b/>
        </w:rPr>
        <w:t>Guidelines:</w:t>
      </w:r>
    </w:p>
    <w:p w14:paraId="0C4906EF" w14:textId="77777777" w:rsidR="00D6013A" w:rsidRPr="00CA36A7" w:rsidRDefault="00D6013A">
      <w:pPr>
        <w:pStyle w:val="ListParagraph"/>
        <w:numPr>
          <w:ilvl w:val="1"/>
          <w:numId w:val="37"/>
        </w:numPr>
        <w:contextualSpacing w:val="0"/>
        <w:jc w:val="both"/>
        <w:rPr>
          <w:rFonts w:ascii="Times New Roman" w:hAnsi="Times New Roman" w:cs="Times New Roman"/>
        </w:rPr>
      </w:pPr>
      <w:r w:rsidRPr="00CA36A7">
        <w:rPr>
          <w:rFonts w:ascii="Times New Roman" w:hAnsi="Times New Roman" w:cs="Times New Roman"/>
        </w:rPr>
        <w:t>Such policy dialogue should allow to develop fit-for purpose policy measures, which should respect institutional autonomy, avoid any unnecessary administrative burden, and thus enable concrete progress towards diversity, equity, and inclusion in higher education.</w:t>
      </w:r>
    </w:p>
    <w:p w14:paraId="689BBBD0" w14:textId="77777777" w:rsidR="00D6013A" w:rsidRPr="00CA36A7" w:rsidRDefault="00D6013A">
      <w:pPr>
        <w:pStyle w:val="ListParagraph"/>
        <w:numPr>
          <w:ilvl w:val="1"/>
          <w:numId w:val="37"/>
        </w:numPr>
        <w:contextualSpacing w:val="0"/>
        <w:jc w:val="both"/>
        <w:rPr>
          <w:rFonts w:ascii="Times New Roman" w:hAnsi="Times New Roman" w:cs="Times New Roman"/>
        </w:rPr>
      </w:pPr>
      <w:r w:rsidRPr="00CA36A7">
        <w:rPr>
          <w:rFonts w:ascii="Times New Roman" w:hAnsi="Times New Roman" w:cs="Times New Roman"/>
        </w:rPr>
        <w:t>Within the scope of the above principles and guidelines, peer support and exchange of good practices are crucial among EHEA countries in order to facilitate progress towards the inclusiveness of higher education systems.</w:t>
      </w:r>
    </w:p>
    <w:p w14:paraId="1148C36A" w14:textId="2018DC7A" w:rsidR="00D6013A" w:rsidRDefault="00D6013A">
      <w:pPr>
        <w:jc w:val="both"/>
        <w:rPr>
          <w:rFonts w:ascii="Times New Roman" w:eastAsia="Times New Roman" w:hAnsi="Times New Roman" w:cs="Times New Roman"/>
          <w:sz w:val="24"/>
          <w:szCs w:val="24"/>
        </w:rPr>
      </w:pPr>
    </w:p>
    <w:tbl>
      <w:tblPr>
        <w:tblStyle w:val="a9"/>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6013A" w:rsidRPr="009C70D4" w14:paraId="58A08D93" w14:textId="77777777" w:rsidTr="007273CD">
        <w:tc>
          <w:tcPr>
            <w:tcW w:w="9010" w:type="dxa"/>
            <w:shd w:val="clear" w:color="auto" w:fill="auto"/>
          </w:tcPr>
          <w:p w14:paraId="34A22675" w14:textId="77777777" w:rsidR="00D6013A" w:rsidRPr="009C70D4" w:rsidRDefault="00D6013A" w:rsidP="007273CD">
            <w:pPr>
              <w:jc w:val="both"/>
              <w:rPr>
                <w:rFonts w:ascii="Times New Roman" w:eastAsia="Times New Roman" w:hAnsi="Times New Roman" w:cs="Times New Roman"/>
                <w:b/>
              </w:rPr>
            </w:pPr>
            <w:r w:rsidRPr="009C70D4">
              <w:rPr>
                <w:rFonts w:ascii="Times New Roman" w:eastAsia="Times New Roman" w:hAnsi="Times New Roman" w:cs="Times New Roman"/>
                <w:b/>
              </w:rPr>
              <w:t>Indicators</w:t>
            </w:r>
          </w:p>
          <w:p w14:paraId="4BAA2028" w14:textId="77777777" w:rsidR="00D6013A" w:rsidRPr="009C70D4" w:rsidRDefault="00D6013A" w:rsidP="007273CD">
            <w:pPr>
              <w:jc w:val="both"/>
              <w:rPr>
                <w:rFonts w:ascii="Times New Roman" w:eastAsia="Times New Roman" w:hAnsi="Times New Roman" w:cs="Times New Roman"/>
                <w:b/>
              </w:rPr>
            </w:pPr>
          </w:p>
        </w:tc>
      </w:tr>
      <w:tr w:rsidR="00D6013A" w:rsidRPr="009C70D4" w14:paraId="3F0376D7" w14:textId="77777777" w:rsidTr="007273CD">
        <w:tc>
          <w:tcPr>
            <w:tcW w:w="9010" w:type="dxa"/>
            <w:shd w:val="clear" w:color="auto" w:fill="auto"/>
          </w:tcPr>
          <w:p w14:paraId="29DD2E56" w14:textId="74E70AA0" w:rsidR="00C8573B" w:rsidRPr="009C70D4" w:rsidRDefault="00D6013A" w:rsidP="007273CD">
            <w:pPr>
              <w:jc w:val="both"/>
              <w:rPr>
                <w:rFonts w:ascii="Times New Roman" w:eastAsia="Times New Roman" w:hAnsi="Times New Roman" w:cs="Times New Roman"/>
                <w:b/>
              </w:rPr>
            </w:pPr>
            <w:r w:rsidRPr="009C70D4">
              <w:rPr>
                <w:rFonts w:ascii="Times New Roman" w:eastAsia="Times New Roman" w:hAnsi="Times New Roman" w:cs="Times New Roman"/>
                <w:b/>
              </w:rPr>
              <w:lastRenderedPageBreak/>
              <w:t xml:space="preserve">1. Top-level authorities have established </w:t>
            </w:r>
            <w:r w:rsidR="00205745" w:rsidRPr="009C70D4">
              <w:rPr>
                <w:rFonts w:ascii="Times New Roman" w:eastAsia="Times New Roman" w:hAnsi="Times New Roman" w:cs="Times New Roman"/>
                <w:b/>
              </w:rPr>
              <w:t xml:space="preserve">policy </w:t>
            </w:r>
            <w:r w:rsidRPr="009C70D4">
              <w:rPr>
                <w:rFonts w:ascii="Times New Roman" w:eastAsia="Times New Roman" w:hAnsi="Times New Roman" w:cs="Times New Roman"/>
                <w:b/>
              </w:rPr>
              <w:t>dialogue</w:t>
            </w:r>
            <w:r w:rsidR="00205745" w:rsidRPr="009C70D4">
              <w:rPr>
                <w:rFonts w:ascii="Times New Roman" w:eastAsia="Times New Roman" w:hAnsi="Times New Roman" w:cs="Times New Roman"/>
                <w:b/>
              </w:rPr>
              <w:t xml:space="preserve"> in a specific forum dedicated to the implementation of the Principles and Guidelines</w:t>
            </w:r>
            <w:r w:rsidRPr="009C70D4">
              <w:rPr>
                <w:rFonts w:ascii="Times New Roman" w:eastAsia="Times New Roman" w:hAnsi="Times New Roman" w:cs="Times New Roman"/>
                <w:b/>
              </w:rPr>
              <w:t xml:space="preserve"> (Eurydice, 2022).</w:t>
            </w:r>
          </w:p>
          <w:p w14:paraId="7AF93423" w14:textId="59A3EA05" w:rsidR="00C8573B" w:rsidRPr="009C70D4" w:rsidRDefault="000C15E0" w:rsidP="00502D27">
            <w:pPr>
              <w:pStyle w:val="ListParagraph"/>
              <w:numPr>
                <w:ilvl w:val="0"/>
                <w:numId w:val="28"/>
              </w:numPr>
              <w:jc w:val="both"/>
              <w:rPr>
                <w:rFonts w:ascii="Times New Roman" w:eastAsia="Times New Roman" w:hAnsi="Times New Roman" w:cs="Times New Roman"/>
                <w:bCs/>
                <w:sz w:val="22"/>
                <w:szCs w:val="22"/>
              </w:rPr>
            </w:pPr>
            <w:r w:rsidRPr="00114B6D">
              <w:rPr>
                <w:rFonts w:ascii="Times New Roman" w:eastAsia="Times New Roman" w:hAnsi="Times New Roman" w:cs="Times New Roman"/>
                <w:bCs/>
                <w:sz w:val="22"/>
                <w:szCs w:val="22"/>
              </w:rPr>
              <w:t>Public authority</w:t>
            </w:r>
            <w:r w:rsidR="00C8573B" w:rsidRPr="009C70D4">
              <w:rPr>
                <w:rFonts w:ascii="Times New Roman" w:eastAsia="Times New Roman" w:hAnsi="Times New Roman" w:cs="Times New Roman"/>
                <w:bCs/>
                <w:sz w:val="22"/>
                <w:szCs w:val="22"/>
              </w:rPr>
              <w:t xml:space="preserve"> actively engages relevant stakeholders, </w:t>
            </w:r>
            <w:r w:rsidR="003A2794">
              <w:rPr>
                <w:rFonts w:ascii="Times New Roman" w:eastAsia="Times New Roman" w:hAnsi="Times New Roman" w:cs="Times New Roman"/>
                <w:bCs/>
                <w:sz w:val="22"/>
                <w:szCs w:val="22"/>
              </w:rPr>
              <w:t>including</w:t>
            </w:r>
            <w:r w:rsidR="00C8573B" w:rsidRPr="009C70D4">
              <w:rPr>
                <w:rFonts w:ascii="Times New Roman" w:eastAsia="Times New Roman" w:hAnsi="Times New Roman" w:cs="Times New Roman"/>
                <w:bCs/>
                <w:sz w:val="22"/>
                <w:szCs w:val="22"/>
              </w:rPr>
              <w:t xml:space="preserve"> student and staff unions, in the elaboration, adoption, monitoring, evaluation and review of </w:t>
            </w:r>
            <w:r w:rsidR="003A2794">
              <w:rPr>
                <w:rFonts w:ascii="Times New Roman" w:eastAsia="Times New Roman" w:hAnsi="Times New Roman" w:cs="Times New Roman"/>
                <w:bCs/>
                <w:sz w:val="22"/>
                <w:szCs w:val="22"/>
              </w:rPr>
              <w:t xml:space="preserve">all </w:t>
            </w:r>
            <w:r w:rsidR="00C8573B" w:rsidRPr="009C70D4">
              <w:rPr>
                <w:rFonts w:ascii="Times New Roman" w:eastAsia="Times New Roman" w:hAnsi="Times New Roman" w:cs="Times New Roman"/>
                <w:bCs/>
                <w:sz w:val="22"/>
                <w:szCs w:val="22"/>
              </w:rPr>
              <w:t xml:space="preserve">policies </w:t>
            </w:r>
            <w:r w:rsidR="003A2794">
              <w:rPr>
                <w:rFonts w:ascii="Times New Roman" w:eastAsia="Times New Roman" w:hAnsi="Times New Roman" w:cs="Times New Roman"/>
                <w:bCs/>
                <w:sz w:val="22"/>
                <w:szCs w:val="22"/>
              </w:rPr>
              <w:t>affect</w:t>
            </w:r>
            <w:r>
              <w:rPr>
                <w:rFonts w:ascii="Times New Roman" w:eastAsia="Times New Roman" w:hAnsi="Times New Roman" w:cs="Times New Roman"/>
                <w:bCs/>
                <w:sz w:val="22"/>
                <w:szCs w:val="22"/>
              </w:rPr>
              <w:t>ing</w:t>
            </w:r>
            <w:r w:rsidR="003A2794">
              <w:rPr>
                <w:rFonts w:ascii="Times New Roman" w:eastAsia="Times New Roman" w:hAnsi="Times New Roman" w:cs="Times New Roman"/>
                <w:bCs/>
                <w:sz w:val="22"/>
                <w:szCs w:val="22"/>
              </w:rPr>
              <w:t xml:space="preserve"> social dimension</w:t>
            </w:r>
            <w:r>
              <w:rPr>
                <w:rFonts w:ascii="Times New Roman" w:eastAsia="Times New Roman" w:hAnsi="Times New Roman" w:cs="Times New Roman"/>
                <w:bCs/>
                <w:sz w:val="22"/>
                <w:szCs w:val="22"/>
              </w:rPr>
              <w:t xml:space="preserve"> of higher education</w:t>
            </w:r>
            <w:r w:rsidR="003A2794">
              <w:rPr>
                <w:rFonts w:ascii="Times New Roman" w:eastAsia="Times New Roman" w:hAnsi="Times New Roman" w:cs="Times New Roman"/>
                <w:bCs/>
                <w:sz w:val="22"/>
                <w:szCs w:val="22"/>
              </w:rPr>
              <w:t xml:space="preserve">. </w:t>
            </w:r>
          </w:p>
          <w:p w14:paraId="3C19B805" w14:textId="6F4CCD2F" w:rsidR="009C70D4" w:rsidRPr="009C70D4" w:rsidRDefault="000C15E0" w:rsidP="009C70D4">
            <w:pPr>
              <w:pStyle w:val="ListParagraph"/>
              <w:numPr>
                <w:ilvl w:val="0"/>
                <w:numId w:val="28"/>
              </w:numPr>
              <w:jc w:val="both"/>
              <w:rPr>
                <w:rFonts w:ascii="Times New Roman" w:eastAsia="Times New Roman" w:hAnsi="Times New Roman" w:cs="Times New Roman"/>
                <w:bCs/>
                <w:sz w:val="22"/>
                <w:szCs w:val="22"/>
              </w:rPr>
            </w:pPr>
            <w:r w:rsidRPr="00114B6D">
              <w:rPr>
                <w:rFonts w:ascii="Times New Roman" w:eastAsia="Times New Roman" w:hAnsi="Times New Roman" w:cs="Times New Roman"/>
                <w:bCs/>
                <w:sz w:val="22"/>
                <w:szCs w:val="22"/>
              </w:rPr>
              <w:t>Public authority</w:t>
            </w:r>
            <w:r w:rsidR="009C70D4" w:rsidRPr="009C70D4">
              <w:rPr>
                <w:rFonts w:ascii="Times New Roman" w:eastAsia="Times New Roman" w:hAnsi="Times New Roman" w:cs="Times New Roman"/>
                <w:bCs/>
                <w:sz w:val="22"/>
                <w:szCs w:val="22"/>
              </w:rPr>
              <w:t xml:space="preserve"> regularly surveys the satisfaction of relevant stakeholders</w:t>
            </w:r>
            <w:r w:rsidR="00E67140">
              <w:rPr>
                <w:rFonts w:ascii="Times New Roman" w:eastAsia="Times New Roman" w:hAnsi="Times New Roman" w:cs="Times New Roman"/>
                <w:bCs/>
                <w:sz w:val="22"/>
                <w:szCs w:val="22"/>
              </w:rPr>
              <w:t xml:space="preserve"> related to their participation</w:t>
            </w:r>
            <w:r w:rsidR="009C70D4" w:rsidRPr="009C70D4">
              <w:rPr>
                <w:rFonts w:ascii="Times New Roman" w:eastAsia="Times New Roman" w:hAnsi="Times New Roman" w:cs="Times New Roman"/>
                <w:bCs/>
                <w:sz w:val="22"/>
                <w:szCs w:val="22"/>
              </w:rPr>
              <w:t xml:space="preserve"> in the decision-making and consultation process on strengthening social dimension of higher education. </w:t>
            </w:r>
          </w:p>
          <w:p w14:paraId="7B1A863D" w14:textId="77777777" w:rsidR="00502D27" w:rsidRPr="009C70D4" w:rsidRDefault="00502D27" w:rsidP="00C8573B">
            <w:pPr>
              <w:jc w:val="both"/>
              <w:rPr>
                <w:rFonts w:ascii="Times New Roman" w:eastAsia="Times New Roman" w:hAnsi="Times New Roman" w:cs="Times New Roman"/>
                <w:b/>
              </w:rPr>
            </w:pPr>
          </w:p>
          <w:p w14:paraId="51D9C9BB" w14:textId="721DD527" w:rsidR="00502D27" w:rsidRPr="009C70D4" w:rsidRDefault="00502D27" w:rsidP="00502D27">
            <w:pPr>
              <w:jc w:val="both"/>
              <w:rPr>
                <w:rFonts w:ascii="Times New Roman" w:eastAsia="Times New Roman" w:hAnsi="Times New Roman" w:cs="Times New Roman"/>
                <w:b/>
              </w:rPr>
            </w:pPr>
            <w:r w:rsidRPr="009C70D4">
              <w:rPr>
                <w:rFonts w:ascii="Times New Roman" w:eastAsia="Times New Roman" w:hAnsi="Times New Roman" w:cs="Times New Roman"/>
                <w:b/>
              </w:rPr>
              <w:t>2</w:t>
            </w:r>
            <w:r w:rsidR="00C8573B" w:rsidRPr="009C70D4">
              <w:rPr>
                <w:rFonts w:ascii="Times New Roman" w:eastAsia="Times New Roman" w:hAnsi="Times New Roman" w:cs="Times New Roman"/>
                <w:b/>
              </w:rPr>
              <w:t xml:space="preserve">. </w:t>
            </w:r>
            <w:r w:rsidR="000C15E0" w:rsidRPr="000C15E0">
              <w:rPr>
                <w:rFonts w:ascii="Times New Roman" w:eastAsia="Times New Roman" w:hAnsi="Times New Roman" w:cs="Times New Roman"/>
                <w:b/>
              </w:rPr>
              <w:t>Public authority</w:t>
            </w:r>
            <w:r w:rsidR="00C8573B" w:rsidRPr="009C70D4">
              <w:rPr>
                <w:rFonts w:ascii="Times New Roman" w:eastAsia="Times New Roman" w:hAnsi="Times New Roman" w:cs="Times New Roman"/>
                <w:b/>
              </w:rPr>
              <w:t xml:space="preserve"> </w:t>
            </w:r>
            <w:r w:rsidR="00803B63">
              <w:rPr>
                <w:rFonts w:ascii="Times New Roman" w:eastAsia="Times New Roman" w:hAnsi="Times New Roman" w:cs="Times New Roman"/>
                <w:b/>
              </w:rPr>
              <w:t xml:space="preserve">supports and </w:t>
            </w:r>
            <w:r w:rsidRPr="009C70D4">
              <w:rPr>
                <w:rFonts w:ascii="Times New Roman" w:eastAsia="Times New Roman" w:hAnsi="Times New Roman" w:cs="Times New Roman"/>
                <w:b/>
              </w:rPr>
              <w:t>participates</w:t>
            </w:r>
            <w:r w:rsidR="00C8573B" w:rsidRPr="009C70D4">
              <w:rPr>
                <w:rFonts w:ascii="Times New Roman" w:eastAsia="Times New Roman" w:hAnsi="Times New Roman" w:cs="Times New Roman"/>
                <w:b/>
              </w:rPr>
              <w:t xml:space="preserve"> in international peer </w:t>
            </w:r>
            <w:r w:rsidR="00803B63">
              <w:rPr>
                <w:rFonts w:ascii="Times New Roman" w:eastAsia="Times New Roman" w:hAnsi="Times New Roman" w:cs="Times New Roman"/>
                <w:b/>
              </w:rPr>
              <w:t>learning activities</w:t>
            </w:r>
            <w:r w:rsidR="00C8573B" w:rsidRPr="009C70D4">
              <w:rPr>
                <w:rFonts w:ascii="Times New Roman" w:eastAsia="Times New Roman" w:hAnsi="Times New Roman" w:cs="Times New Roman"/>
                <w:b/>
              </w:rPr>
              <w:t xml:space="preserve"> and </w:t>
            </w:r>
            <w:r w:rsidRPr="009C70D4">
              <w:rPr>
                <w:rFonts w:ascii="Times New Roman" w:eastAsia="Times New Roman" w:hAnsi="Times New Roman" w:cs="Times New Roman"/>
                <w:b/>
              </w:rPr>
              <w:t>exchange</w:t>
            </w:r>
            <w:r w:rsidR="00C8573B" w:rsidRPr="009C70D4">
              <w:rPr>
                <w:rFonts w:ascii="Times New Roman" w:eastAsia="Times New Roman" w:hAnsi="Times New Roman" w:cs="Times New Roman"/>
                <w:b/>
              </w:rPr>
              <w:t xml:space="preserve"> of good practices </w:t>
            </w:r>
            <w:r w:rsidRPr="009C70D4">
              <w:rPr>
                <w:rFonts w:ascii="Times New Roman" w:eastAsia="Times New Roman" w:hAnsi="Times New Roman" w:cs="Times New Roman"/>
                <w:b/>
              </w:rPr>
              <w:t xml:space="preserve">on strengthening social dimension of higher education. </w:t>
            </w:r>
          </w:p>
          <w:p w14:paraId="76694185" w14:textId="77777777" w:rsidR="00D6013A" w:rsidRPr="009C70D4" w:rsidRDefault="00D6013A" w:rsidP="007273CD">
            <w:pPr>
              <w:jc w:val="both"/>
              <w:rPr>
                <w:rFonts w:ascii="Times New Roman" w:eastAsia="Times New Roman" w:hAnsi="Times New Roman" w:cs="Times New Roman"/>
                <w:b/>
              </w:rPr>
            </w:pPr>
          </w:p>
        </w:tc>
      </w:tr>
    </w:tbl>
    <w:p w14:paraId="77092375" w14:textId="5BF47FDB" w:rsidR="00D6013A" w:rsidRDefault="00D6013A" w:rsidP="00792E57">
      <w:pPr>
        <w:jc w:val="both"/>
        <w:rPr>
          <w:rFonts w:ascii="Times New Roman" w:eastAsia="Times New Roman" w:hAnsi="Times New Roman" w:cs="Times New Roman"/>
          <w:sz w:val="24"/>
          <w:szCs w:val="24"/>
        </w:rPr>
      </w:pPr>
    </w:p>
    <w:p w14:paraId="4DD9CF5F" w14:textId="77777777" w:rsidR="00792E57" w:rsidRDefault="00792E57" w:rsidP="00792E57">
      <w:pPr>
        <w:jc w:val="both"/>
        <w:rPr>
          <w:rFonts w:ascii="Times New Roman" w:eastAsia="Times New Roman" w:hAnsi="Times New Roman" w:cs="Times New Roman"/>
          <w:sz w:val="24"/>
          <w:szCs w:val="24"/>
        </w:rPr>
      </w:pPr>
    </w:p>
    <w:p w14:paraId="3C96E83F" w14:textId="62F28775" w:rsidR="00792E57" w:rsidRPr="00CA36A7" w:rsidRDefault="00792E57" w:rsidP="00792E57">
      <w:pPr>
        <w:jc w:val="both"/>
        <w:rPr>
          <w:rFonts w:ascii="Times New Roman" w:hAnsi="Times New Roman" w:cs="Times New Roman"/>
          <w:b/>
        </w:rPr>
      </w:pPr>
      <w:r w:rsidRPr="00792E57">
        <w:rPr>
          <w:rFonts w:ascii="Times New Roman" w:hAnsi="Times New Roman" w:cs="Times New Roman"/>
          <w:b/>
          <w:sz w:val="28"/>
          <w:szCs w:val="28"/>
        </w:rPr>
        <w:t>Glossary of Terms and Definitions</w:t>
      </w:r>
      <w:r w:rsidRPr="00D7152E">
        <w:rPr>
          <w:rStyle w:val="FootnoteReference"/>
          <w:rFonts w:ascii="Times New Roman" w:hAnsi="Times New Roman" w:cs="Times New Roman"/>
          <w:b/>
        </w:rPr>
        <w:footnoteReference w:id="9"/>
      </w:r>
      <w:r w:rsidRPr="00D7152E">
        <w:rPr>
          <w:rFonts w:ascii="Times New Roman" w:hAnsi="Times New Roman" w:cs="Times New Roman"/>
          <w:b/>
        </w:rPr>
        <w:t xml:space="preserve"> </w:t>
      </w:r>
    </w:p>
    <w:p w14:paraId="04587F07" w14:textId="77777777" w:rsidR="00792E57" w:rsidRPr="00CA36A7" w:rsidRDefault="00792E57" w:rsidP="00792E57">
      <w:pPr>
        <w:jc w:val="both"/>
        <w:rPr>
          <w:rFonts w:ascii="Times New Roman" w:hAnsi="Times New Roman" w:cs="Times New Roman"/>
        </w:rPr>
      </w:pPr>
    </w:p>
    <w:p w14:paraId="520DD442" w14:textId="77777777" w:rsidR="00792E57" w:rsidRPr="00CA36A7" w:rsidRDefault="00792E57" w:rsidP="00792E57">
      <w:pPr>
        <w:jc w:val="both"/>
        <w:rPr>
          <w:rFonts w:ascii="Times New Roman" w:hAnsi="Times New Roman" w:cs="Times New Roman"/>
          <w:i/>
        </w:rPr>
      </w:pPr>
      <w:r w:rsidRPr="00CA36A7">
        <w:rPr>
          <w:rFonts w:ascii="Times New Roman" w:hAnsi="Times New Roman" w:cs="Times New Roman"/>
          <w:i/>
        </w:rPr>
        <w:t xml:space="preserve">This glossary defines the three central terms in this document, namely underrepresented, disadvantaged and vulnerable students. The definitions are not to be understood as legal definitions and therefore do not conflict with any existing legal regulations, rather they are intended as explanatory definitions used in relation to the contents of the Principles and Guidelines. </w:t>
      </w:r>
    </w:p>
    <w:p w14:paraId="7794C1F6" w14:textId="77777777" w:rsidR="00792E57" w:rsidRPr="00CA36A7" w:rsidRDefault="00792E57" w:rsidP="00792E57">
      <w:pPr>
        <w:jc w:val="both"/>
        <w:rPr>
          <w:rFonts w:ascii="Times New Roman" w:hAnsi="Times New Roman" w:cs="Times New Roman"/>
        </w:rPr>
      </w:pPr>
    </w:p>
    <w:p w14:paraId="20E20057" w14:textId="77777777" w:rsidR="00792E57" w:rsidRPr="00CA36A7" w:rsidRDefault="00792E57" w:rsidP="00792E57">
      <w:pPr>
        <w:jc w:val="both"/>
        <w:rPr>
          <w:rFonts w:ascii="Times New Roman" w:hAnsi="Times New Roman" w:cs="Times New Roman"/>
        </w:rPr>
      </w:pPr>
      <w:r w:rsidRPr="00CA36A7">
        <w:rPr>
          <w:rFonts w:ascii="Times New Roman" w:hAnsi="Times New Roman" w:cs="Times New Roman"/>
          <w:b/>
        </w:rPr>
        <w:t>Underrepresented students</w:t>
      </w:r>
      <w:r w:rsidRPr="00CA36A7">
        <w:rPr>
          <w:rFonts w:ascii="Times New Roman" w:hAnsi="Times New Roman" w:cs="Times New Roman"/>
        </w:rPr>
        <w:t xml:space="preserve">: </w:t>
      </w:r>
    </w:p>
    <w:p w14:paraId="1933DAC1" w14:textId="77777777" w:rsidR="00792E57" w:rsidRPr="00CA36A7" w:rsidRDefault="00792E57" w:rsidP="00792E57">
      <w:pPr>
        <w:jc w:val="both"/>
        <w:rPr>
          <w:rFonts w:ascii="Times New Roman" w:hAnsi="Times New Roman" w:cs="Times New Roman"/>
        </w:rPr>
      </w:pPr>
      <w:r w:rsidRPr="00CA36A7">
        <w:rPr>
          <w:rFonts w:ascii="Times New Roman" w:hAnsi="Times New Roman" w:cs="Times New Roman"/>
        </w:rPr>
        <w:t>A group of learners is underrepresented in relation to certain characteristics (e.g. gender, age, nationality, geographic origin, socio-economic background</w:t>
      </w:r>
      <w:r>
        <w:rPr>
          <w:rFonts w:ascii="Times New Roman" w:hAnsi="Times New Roman" w:cs="Times New Roman"/>
        </w:rPr>
        <w:t>, ethnic minorities</w:t>
      </w:r>
      <w:r w:rsidRPr="00CA36A7">
        <w:rPr>
          <w:rFonts w:ascii="Times New Roman" w:hAnsi="Times New Roman" w:cs="Times New Roman"/>
        </w:rPr>
        <w:t>) if its share among the students is lower than the share of a comparable group in the total population. This can be documented at the time of admission, during the course of studies or at graduation. Individuals usually have several underrepresented characteristics, which is why combinations of underrepresented characteristics ("intersectionality") should always be considered. Furthermore, underrepresentation can also impact at different levels of higher education – study programme, faculty or department, higher education institution, higher education system.</w:t>
      </w:r>
      <w:r w:rsidRPr="00CA36A7">
        <w:rPr>
          <w:rFonts w:ascii="Times New Roman" w:hAnsi="Times New Roman" w:cs="Times New Roman"/>
        </w:rPr>
        <w:br/>
        <w:t xml:space="preserve">This definition is complementary to the London Communiqué, </w:t>
      </w:r>
      <w:r w:rsidRPr="00CA36A7">
        <w:rPr>
          <w:rFonts w:ascii="Times New Roman" w:hAnsi="Times New Roman" w:cs="Times New Roman"/>
          <w:i/>
        </w:rPr>
        <w:t>"that the student body entering, participating in and completing higher education at all levels should reflect the diversity of our populations"</w:t>
      </w:r>
      <w:r w:rsidRPr="00CA36A7">
        <w:rPr>
          <w:rFonts w:ascii="Times New Roman" w:hAnsi="Times New Roman" w:cs="Times New Roman"/>
        </w:rPr>
        <w:t>, but does not fully cover it.</w:t>
      </w:r>
    </w:p>
    <w:p w14:paraId="755BED16" w14:textId="77777777" w:rsidR="00792E57" w:rsidRPr="00CA36A7" w:rsidRDefault="00792E57" w:rsidP="00792E57">
      <w:pPr>
        <w:jc w:val="both"/>
        <w:rPr>
          <w:rFonts w:ascii="Times New Roman" w:hAnsi="Times New Roman" w:cs="Times New Roman"/>
        </w:rPr>
      </w:pPr>
    </w:p>
    <w:p w14:paraId="62A35010" w14:textId="77777777" w:rsidR="00792E57" w:rsidRPr="00CA36A7" w:rsidRDefault="00792E57" w:rsidP="00792E57">
      <w:pPr>
        <w:jc w:val="both"/>
        <w:rPr>
          <w:rFonts w:ascii="Times New Roman" w:hAnsi="Times New Roman" w:cs="Times New Roman"/>
          <w:b/>
        </w:rPr>
      </w:pPr>
      <w:r w:rsidRPr="00CA36A7">
        <w:rPr>
          <w:rFonts w:ascii="Times New Roman" w:hAnsi="Times New Roman" w:cs="Times New Roman"/>
          <w:b/>
        </w:rPr>
        <w:t>Disadvantaged students:</w:t>
      </w:r>
    </w:p>
    <w:p w14:paraId="2E436562" w14:textId="58E6498A" w:rsidR="00792E57" w:rsidRPr="00CA36A7" w:rsidRDefault="00792E57" w:rsidP="00792E57">
      <w:pPr>
        <w:jc w:val="both"/>
        <w:rPr>
          <w:rFonts w:ascii="Times New Roman" w:hAnsi="Times New Roman" w:cs="Times New Roman"/>
        </w:rPr>
      </w:pPr>
      <w:r w:rsidRPr="00CA36A7">
        <w:rPr>
          <w:rFonts w:ascii="Times New Roman" w:hAnsi="Times New Roman" w:cs="Times New Roman"/>
        </w:rPr>
        <w:t>Disadvantaged students often face specific challenges compared to their peers in higher education. This can take many forms (e.g. disability, low family income, little or no family support, orphan, many school moves, mental health, pregnancy, having less time to study, because one has to earn ones living by working or having caring duties). The disadvantage may be permanent, may occur from time to time or</w:t>
      </w:r>
      <w:r>
        <w:rPr>
          <w:rFonts w:ascii="Times New Roman" w:hAnsi="Times New Roman" w:cs="Times New Roman"/>
        </w:rPr>
        <w:t xml:space="preserve"> </w:t>
      </w:r>
      <w:r w:rsidRPr="00CA36A7">
        <w:rPr>
          <w:rFonts w:ascii="Times New Roman" w:hAnsi="Times New Roman" w:cs="Times New Roman"/>
        </w:rPr>
        <w:t>only for a limited period.</w:t>
      </w:r>
      <w:r w:rsidRPr="00CA36A7">
        <w:rPr>
          <w:rFonts w:ascii="Times New Roman" w:hAnsi="Times New Roman" w:cs="Times New Roman"/>
        </w:rPr>
        <w:br/>
        <w:t>Disadvantaged students can be part of an underrepresented group, but do not have to be. Therefore, disadvantaged and underrepresented are not synonymous.</w:t>
      </w:r>
    </w:p>
    <w:p w14:paraId="6A9525D5" w14:textId="77777777" w:rsidR="00792E57" w:rsidRPr="00CA36A7" w:rsidRDefault="00792E57" w:rsidP="00792E57">
      <w:pPr>
        <w:jc w:val="both"/>
        <w:rPr>
          <w:rFonts w:ascii="Times New Roman" w:hAnsi="Times New Roman" w:cs="Times New Roman"/>
        </w:rPr>
      </w:pPr>
    </w:p>
    <w:p w14:paraId="76D95649" w14:textId="77777777" w:rsidR="00792E57" w:rsidRPr="00CA36A7" w:rsidRDefault="00792E57" w:rsidP="00792E57">
      <w:pPr>
        <w:jc w:val="both"/>
        <w:rPr>
          <w:rFonts w:ascii="Times New Roman" w:hAnsi="Times New Roman" w:cs="Times New Roman"/>
          <w:b/>
        </w:rPr>
      </w:pPr>
      <w:r w:rsidRPr="00CA36A7">
        <w:rPr>
          <w:rFonts w:ascii="Times New Roman" w:hAnsi="Times New Roman" w:cs="Times New Roman"/>
          <w:b/>
        </w:rPr>
        <w:t xml:space="preserve">Vulnerable students: </w:t>
      </w:r>
    </w:p>
    <w:p w14:paraId="1115D348" w14:textId="020997C4" w:rsidR="00152FC0" w:rsidRPr="00523424" w:rsidRDefault="00792E57" w:rsidP="00523424">
      <w:pPr>
        <w:jc w:val="both"/>
        <w:rPr>
          <w:rFonts w:ascii="Times New Roman" w:hAnsi="Times New Roman" w:cs="Times New Roman"/>
        </w:rPr>
      </w:pPr>
      <w:r w:rsidRPr="00CA36A7">
        <w:rPr>
          <w:rFonts w:ascii="Times New Roman" w:hAnsi="Times New Roman" w:cs="Times New Roman"/>
        </w:rPr>
        <w:t>Vulnerable students may be at risk of disadvantage (see above) and in addition have special (protection) needs. For example, because they suffer from an illness (including mental health) or have a disability, because they are minors, because their residence permit depends on the success of their studies (and thus also on decisions made by individual teachers), because they are at risk of being discriminated against. These learners are vulnerable in the sense that they may not be able to ensure their personal well-being, or that they may not be able to protect themselves from harm or exploitation and need additional support or attention.</w:t>
      </w:r>
      <w:r w:rsidRPr="00FE1C49">
        <w:rPr>
          <w:rFonts w:ascii="Times New Roman" w:hAnsi="Times New Roman" w:cs="Times New Roman"/>
        </w:rPr>
        <w:t xml:space="preserve"> </w:t>
      </w:r>
    </w:p>
    <w:sectPr w:rsidR="00152FC0" w:rsidRPr="00523424">
      <w:headerReference w:type="default" r:id="rId14"/>
      <w:footerReference w:type="default" r:id="rId15"/>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4A73" w14:textId="77777777" w:rsidR="005720FF" w:rsidRDefault="005720FF">
      <w:r>
        <w:separator/>
      </w:r>
    </w:p>
  </w:endnote>
  <w:endnote w:type="continuationSeparator" w:id="0">
    <w:p w14:paraId="262DB579" w14:textId="77777777" w:rsidR="005720FF" w:rsidRDefault="0057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BCE7" w14:textId="62D8702E" w:rsidR="00152FC0" w:rsidRDefault="0080179B">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526AF">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14:paraId="38D8CD33" w14:textId="77777777" w:rsidR="00152FC0" w:rsidRDefault="00152FC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F7F7" w14:textId="77777777" w:rsidR="005720FF" w:rsidRDefault="005720FF">
      <w:r>
        <w:separator/>
      </w:r>
    </w:p>
  </w:footnote>
  <w:footnote w:type="continuationSeparator" w:id="0">
    <w:p w14:paraId="5D6626C6" w14:textId="77777777" w:rsidR="005720FF" w:rsidRDefault="005720FF">
      <w:r>
        <w:continuationSeparator/>
      </w:r>
    </w:p>
  </w:footnote>
  <w:footnote w:id="1">
    <w:p w14:paraId="423235E1" w14:textId="5D70E097" w:rsidR="00F21FF2" w:rsidRPr="0014746C" w:rsidRDefault="00F21FF2" w:rsidP="0014746C">
      <w:pPr>
        <w:autoSpaceDE w:val="0"/>
        <w:autoSpaceDN w:val="0"/>
        <w:adjustRightInd w:val="0"/>
        <w:rPr>
          <w:rFonts w:ascii="Times New Roman" w:eastAsia="Times New Roman" w:hAnsi="Times New Roman" w:cs="Times New Roman"/>
          <w:b/>
          <w:color w:val="000000"/>
          <w:sz w:val="20"/>
          <w:szCs w:val="20"/>
        </w:rPr>
      </w:pPr>
      <w:r>
        <w:rPr>
          <w:rStyle w:val="FootnoteReference"/>
        </w:rPr>
        <w:footnoteRef/>
      </w:r>
      <w:r>
        <w:t xml:space="preserve"> </w:t>
      </w:r>
      <w:r w:rsidRPr="00F21FF2">
        <w:rPr>
          <w:rFonts w:ascii="Times New Roman" w:hAnsi="Times New Roman" w:cs="Times New Roman"/>
          <w:sz w:val="20"/>
          <w:szCs w:val="20"/>
        </w:rPr>
        <w:t xml:space="preserve">In the further text we will use </w:t>
      </w:r>
      <w:r w:rsidR="0014746C">
        <w:rPr>
          <w:rFonts w:ascii="Times New Roman" w:hAnsi="Times New Roman" w:cs="Times New Roman"/>
          <w:sz w:val="20"/>
          <w:szCs w:val="20"/>
        </w:rPr>
        <w:t xml:space="preserve">the </w:t>
      </w:r>
      <w:r w:rsidRPr="00F21FF2">
        <w:rPr>
          <w:rFonts w:ascii="Times New Roman" w:hAnsi="Times New Roman" w:cs="Times New Roman"/>
          <w:sz w:val="20"/>
          <w:szCs w:val="20"/>
        </w:rPr>
        <w:t xml:space="preserve">abbreviation ‘Principles and Guidelines’ instead of the full name of the adopted document: </w:t>
      </w:r>
      <w:r w:rsidRPr="00F21FF2">
        <w:rPr>
          <w:rFonts w:ascii="Times New Roman" w:hAnsi="Times New Roman" w:cs="Times New Roman"/>
          <w:color w:val="333333"/>
          <w:sz w:val="20"/>
          <w:szCs w:val="20"/>
          <w:lang w:val="en-GB"/>
        </w:rPr>
        <w:t xml:space="preserve">Rome Ministerial Communiqué 19 November 2020 - Annex II to the Rome Ministerial </w:t>
      </w:r>
      <w:r>
        <w:rPr>
          <w:rFonts w:ascii="Times New Roman" w:hAnsi="Times New Roman" w:cs="Times New Roman"/>
          <w:color w:val="333333"/>
          <w:sz w:val="20"/>
          <w:szCs w:val="20"/>
          <w:lang w:val="en-GB"/>
        </w:rPr>
        <w:t>C</w:t>
      </w:r>
      <w:r w:rsidRPr="00F21FF2">
        <w:rPr>
          <w:rFonts w:ascii="Times New Roman" w:hAnsi="Times New Roman" w:cs="Times New Roman"/>
          <w:color w:val="333333"/>
          <w:sz w:val="20"/>
          <w:szCs w:val="20"/>
          <w:lang w:val="en-GB"/>
        </w:rPr>
        <w:t>ommuniqué: Principles and Guidelines to Strengthen the Social Dimension of Higher</w:t>
      </w:r>
      <w:r>
        <w:rPr>
          <w:rFonts w:ascii="Times New Roman" w:hAnsi="Times New Roman" w:cs="Times New Roman"/>
          <w:color w:val="333333"/>
          <w:sz w:val="20"/>
          <w:szCs w:val="20"/>
          <w:lang w:val="en-GB"/>
        </w:rPr>
        <w:t xml:space="preserve"> </w:t>
      </w:r>
      <w:r w:rsidRPr="00F21FF2">
        <w:rPr>
          <w:rFonts w:ascii="Times New Roman" w:hAnsi="Times New Roman" w:cs="Times New Roman"/>
          <w:color w:val="333333"/>
          <w:sz w:val="20"/>
          <w:szCs w:val="20"/>
          <w:lang w:val="en-GB"/>
        </w:rPr>
        <w:t xml:space="preserve">Education in the EHEA. EHEA Ministerial Conference. </w:t>
      </w:r>
      <w:r w:rsidRPr="00F21FF2">
        <w:rPr>
          <w:rFonts w:ascii="Times New Roman" w:hAnsi="Times New Roman" w:cs="Times New Roman"/>
          <w:sz w:val="20"/>
          <w:szCs w:val="20"/>
          <w:lang w:val="en-GB"/>
        </w:rPr>
        <w:t>Available at</w:t>
      </w:r>
      <w:r>
        <w:rPr>
          <w:rFonts w:ascii="Times New Roman" w:hAnsi="Times New Roman" w:cs="Times New Roman"/>
          <w:sz w:val="20"/>
          <w:szCs w:val="20"/>
          <w:lang w:val="en-GB"/>
        </w:rPr>
        <w:t>:</w:t>
      </w:r>
      <w:r w:rsidRPr="00F21FF2">
        <w:rPr>
          <w:rFonts w:ascii="Times New Roman" w:hAnsi="Times New Roman" w:cs="Times New Roman"/>
          <w:sz w:val="20"/>
          <w:szCs w:val="20"/>
          <w:lang w:val="en-GB"/>
        </w:rPr>
        <w:t xml:space="preserve"> </w:t>
      </w:r>
      <w:hyperlink r:id="rId1" w:history="1">
        <w:r w:rsidRPr="00F21FF2">
          <w:rPr>
            <w:rStyle w:val="Hyperlink"/>
            <w:rFonts w:ascii="Times New Roman" w:hAnsi="Times New Roman" w:cs="Times New Roman"/>
            <w:szCs w:val="20"/>
          </w:rPr>
          <w:t>http://www.ehea.info/Upload/Rome_Ministerial_Communique_Annex_II.pdf</w:t>
        </w:r>
      </w:hyperlink>
      <w:r w:rsidRPr="00F21FF2">
        <w:rPr>
          <w:rFonts w:ascii="Times New Roman" w:hAnsi="Times New Roman" w:cs="Times New Roman"/>
          <w:sz w:val="20"/>
          <w:szCs w:val="20"/>
        </w:rPr>
        <w:t xml:space="preserve"> </w:t>
      </w:r>
    </w:p>
  </w:footnote>
  <w:footnote w:id="2">
    <w:p w14:paraId="33D20083" w14:textId="77777777" w:rsidR="00864603" w:rsidRPr="00864603" w:rsidRDefault="00864603" w:rsidP="00864603">
      <w:pPr>
        <w:rPr>
          <w:rFonts w:ascii="Times New Roman" w:eastAsia="Times New Roman" w:hAnsi="Times New Roman" w:cs="Times New Roman"/>
          <w:bCs/>
          <w:color w:val="000000"/>
          <w:sz w:val="20"/>
          <w:szCs w:val="20"/>
        </w:rPr>
      </w:pPr>
      <w:r>
        <w:rPr>
          <w:rStyle w:val="FootnoteReference"/>
        </w:rPr>
        <w:footnoteRef/>
      </w:r>
      <w:r>
        <w:t xml:space="preserve"> </w:t>
      </w:r>
      <w:r w:rsidRPr="00864603">
        <w:rPr>
          <w:rFonts w:ascii="Times New Roman" w:eastAsia="Times New Roman" w:hAnsi="Times New Roman" w:cs="Times New Roman"/>
          <w:bCs/>
          <w:color w:val="000000"/>
          <w:sz w:val="20"/>
          <w:szCs w:val="20"/>
        </w:rPr>
        <w:t>European Commission/EACEA/Eurydice. (2022). Towards equity and inclusion in higher education in Europe. Eurydice report. Luxembourg: Publications Office of the European Union.</w:t>
      </w:r>
    </w:p>
    <w:p w14:paraId="10725E24" w14:textId="1A6A6687" w:rsidR="00864603" w:rsidRPr="00864603" w:rsidRDefault="00864603">
      <w:pPr>
        <w:pStyle w:val="FootnoteText"/>
        <w:rPr>
          <w:lang w:val="hr-HR"/>
        </w:rPr>
      </w:pPr>
    </w:p>
  </w:footnote>
  <w:footnote w:id="3">
    <w:p w14:paraId="0577B9E2" w14:textId="2A304AD0" w:rsidR="001B5879" w:rsidRPr="001B5879" w:rsidRDefault="001B5879">
      <w:pPr>
        <w:pStyle w:val="FootnoteText"/>
        <w:rPr>
          <w:lang w:val="hr-HR"/>
        </w:rPr>
      </w:pPr>
      <w:r>
        <w:rPr>
          <w:rStyle w:val="FootnoteReference"/>
        </w:rPr>
        <w:footnoteRef/>
      </w:r>
      <w:r>
        <w:t xml:space="preserve"> </w:t>
      </w:r>
      <w:r w:rsidRPr="001B5879">
        <w:rPr>
          <w:rFonts w:ascii="Times New Roman" w:hAnsi="Times New Roman" w:cs="Times New Roman"/>
          <w:color w:val="333333"/>
          <w:lang w:val="en-GB"/>
        </w:rPr>
        <w:t>This text is an integral part of the adopted Principles and Guidelines at the 2020 Rome ministerial conference</w:t>
      </w:r>
    </w:p>
  </w:footnote>
  <w:footnote w:id="4">
    <w:p w14:paraId="1AD5010C" w14:textId="77777777" w:rsidR="00792E57" w:rsidRPr="00CA36A7" w:rsidRDefault="00792E57" w:rsidP="00792E57">
      <w:pPr>
        <w:pStyle w:val="FootnoteText"/>
        <w:rPr>
          <w:lang w:val="hr-HR"/>
        </w:rPr>
      </w:pPr>
      <w:r>
        <w:rPr>
          <w:rStyle w:val="FootnoteReference"/>
        </w:rPr>
        <w:footnoteRef/>
      </w:r>
      <w:r>
        <w:t xml:space="preserve"> </w:t>
      </w:r>
      <w:r w:rsidRPr="00CA36A7">
        <w:rPr>
          <w:rFonts w:ascii="Times New Roman" w:hAnsi="Times New Roman" w:cs="Times New Roman"/>
        </w:rPr>
        <w:t xml:space="preserve">Accessible at </w:t>
      </w:r>
      <w:hyperlink r:id="rId2" w:history="1">
        <w:r w:rsidRPr="00CA36A7">
          <w:rPr>
            <w:rStyle w:val="Hyperlink"/>
            <w:rFonts w:ascii="Times New Roman" w:hAnsi="Times New Roman" w:cs="Times New Roman"/>
          </w:rPr>
          <w:t>http://www.ehea.info/media.ehea.info/file/2015_Yerevan/71/5/Widening_Participation_for_Equity_and_Growth_A_Strategy_for_the_Development_of_the_SD_and_LLL_in_the_EHEA_to_2020_613715.pdf</w:t>
        </w:r>
      </w:hyperlink>
      <w:r w:rsidRPr="00CA36A7">
        <w:t xml:space="preserve"> </w:t>
      </w:r>
    </w:p>
  </w:footnote>
  <w:footnote w:id="5">
    <w:p w14:paraId="7895EDD7" w14:textId="77777777" w:rsidR="00792E57" w:rsidRPr="004D361E" w:rsidRDefault="00792E57" w:rsidP="00792E57">
      <w:pPr>
        <w:pStyle w:val="FootnoteText"/>
        <w:rPr>
          <w:rFonts w:ascii="Times New Roman" w:hAnsi="Times New Roman" w:cs="Times New Roman"/>
        </w:rPr>
      </w:pPr>
      <w:r w:rsidRPr="00CA36A7">
        <w:rPr>
          <w:rStyle w:val="FootnoteReference"/>
          <w:rFonts w:ascii="Times New Roman" w:hAnsi="Times New Roman" w:cs="Times New Roman"/>
        </w:rPr>
        <w:footnoteRef/>
      </w:r>
      <w:r w:rsidRPr="00CA36A7">
        <w:rPr>
          <w:rFonts w:ascii="Times New Roman" w:hAnsi="Times New Roman" w:cs="Times New Roman"/>
        </w:rPr>
        <w:t xml:space="preserve"> Glossary of Terms and Definitions related to the definitions for vulnerable, disadvantaged and underrepresented students is at the end of this document.</w:t>
      </w:r>
      <w:r w:rsidRPr="004D361E">
        <w:rPr>
          <w:rFonts w:ascii="Times New Roman" w:hAnsi="Times New Roman" w:cs="Times New Roman"/>
        </w:rPr>
        <w:t xml:space="preserve"> </w:t>
      </w:r>
    </w:p>
  </w:footnote>
  <w:footnote w:id="6">
    <w:p w14:paraId="2B96681D" w14:textId="670B34C4" w:rsidR="001B5879" w:rsidRPr="001B5879" w:rsidRDefault="001B5879">
      <w:pPr>
        <w:pStyle w:val="FootnoteText"/>
        <w:rPr>
          <w:lang w:val="hr-HR"/>
        </w:rPr>
      </w:pPr>
      <w:r>
        <w:rPr>
          <w:rStyle w:val="FootnoteReference"/>
        </w:rPr>
        <w:footnoteRef/>
      </w:r>
      <w:r>
        <w:t xml:space="preserve"> </w:t>
      </w:r>
      <w:r w:rsidRPr="001B5879">
        <w:rPr>
          <w:rFonts w:ascii="Times New Roman" w:hAnsi="Times New Roman" w:cs="Times New Roman"/>
          <w:color w:val="333333"/>
          <w:lang w:val="en-GB"/>
        </w:rPr>
        <w:t>Th</w:t>
      </w:r>
      <w:r>
        <w:rPr>
          <w:rFonts w:ascii="Times New Roman" w:hAnsi="Times New Roman" w:cs="Times New Roman"/>
          <w:color w:val="333333"/>
          <w:lang w:val="en-GB"/>
        </w:rPr>
        <w:t>e</w:t>
      </w:r>
      <w:r w:rsidRPr="001B5879">
        <w:rPr>
          <w:rFonts w:ascii="Times New Roman" w:hAnsi="Times New Roman" w:cs="Times New Roman"/>
          <w:color w:val="333333"/>
          <w:lang w:val="en-GB"/>
        </w:rPr>
        <w:t xml:space="preserve"> text</w:t>
      </w:r>
      <w:r>
        <w:rPr>
          <w:rFonts w:ascii="Times New Roman" w:hAnsi="Times New Roman" w:cs="Times New Roman"/>
          <w:color w:val="333333"/>
          <w:lang w:val="en-GB"/>
        </w:rPr>
        <w:t xml:space="preserve"> of the following ten principles and their guidelines in the further text</w:t>
      </w:r>
      <w:r w:rsidRPr="001B5879">
        <w:rPr>
          <w:rFonts w:ascii="Times New Roman" w:hAnsi="Times New Roman" w:cs="Times New Roman"/>
          <w:color w:val="333333"/>
          <w:lang w:val="en-GB"/>
        </w:rPr>
        <w:t xml:space="preserve"> is an integral part of the adopted Principles and Guidelines at the 2020 Rome ministerial conference</w:t>
      </w:r>
      <w:r>
        <w:rPr>
          <w:rFonts w:ascii="Times New Roman" w:hAnsi="Times New Roman" w:cs="Times New Roman"/>
          <w:color w:val="333333"/>
          <w:lang w:val="en-GB"/>
        </w:rPr>
        <w:t>. However, the text of the indicators is new and is proposed by the BFUG Working Group on Social Dimension, in line with the Terms of Reference</w:t>
      </w:r>
      <w:r w:rsidR="0014746C">
        <w:rPr>
          <w:rFonts w:ascii="Times New Roman" w:hAnsi="Times New Roman" w:cs="Times New Roman"/>
          <w:color w:val="333333"/>
          <w:lang w:val="en-GB"/>
        </w:rPr>
        <w:t xml:space="preserve"> 2021-2024 for the BFUG Working Group on Social Dimension. </w:t>
      </w:r>
    </w:p>
  </w:footnote>
  <w:footnote w:id="7">
    <w:p w14:paraId="636EABC8" w14:textId="001DE1FE" w:rsidR="006C5481" w:rsidRPr="006C5481" w:rsidRDefault="006C5481">
      <w:pPr>
        <w:pStyle w:val="FootnoteText"/>
        <w:rPr>
          <w:rFonts w:ascii="Times New Roman" w:hAnsi="Times New Roman" w:cs="Times New Roman"/>
          <w:lang w:val="hr-HR"/>
        </w:rPr>
      </w:pPr>
      <w:r w:rsidRPr="006C5481">
        <w:rPr>
          <w:rStyle w:val="FootnoteReference"/>
          <w:rFonts w:ascii="Times New Roman" w:hAnsi="Times New Roman" w:cs="Times New Roman"/>
        </w:rPr>
        <w:footnoteRef/>
      </w:r>
      <w:r w:rsidRPr="006C5481">
        <w:rPr>
          <w:rFonts w:ascii="Times New Roman" w:hAnsi="Times New Roman" w:cs="Times New Roman"/>
        </w:rPr>
        <w:t xml:space="preserve"> </w:t>
      </w:r>
      <w:r w:rsidRPr="006C5481">
        <w:rPr>
          <w:rFonts w:ascii="Times New Roman" w:hAnsi="Times New Roman" w:cs="Times New Roman"/>
          <w:lang w:val="hr-HR"/>
        </w:rPr>
        <w:t>This citation referes to the publication</w:t>
      </w:r>
      <w:r>
        <w:rPr>
          <w:rFonts w:ascii="Times New Roman" w:hAnsi="Times New Roman" w:cs="Times New Roman"/>
          <w:lang w:val="hr-HR"/>
        </w:rPr>
        <w:t>:</w:t>
      </w:r>
      <w:r w:rsidRPr="006C5481">
        <w:rPr>
          <w:rFonts w:ascii="Times New Roman" w:hAnsi="Times New Roman" w:cs="Times New Roman"/>
          <w:lang w:val="hr-HR"/>
        </w:rPr>
        <w:t xml:space="preserve"> European Commission/EACEA/Eurydice. (2022). Towards equity and inclusion in higher education in Europe. Eurydice report. Luxembourg: Publications Office of the European Union. </w:t>
      </w:r>
    </w:p>
  </w:footnote>
  <w:footnote w:id="8">
    <w:p w14:paraId="1C61E971" w14:textId="504F4BE7" w:rsidR="005372F6" w:rsidRPr="005372F6" w:rsidRDefault="005372F6">
      <w:pPr>
        <w:pStyle w:val="FootnoteText"/>
        <w:rPr>
          <w:lang w:val="hr-HR"/>
        </w:rPr>
      </w:pPr>
      <w:r>
        <w:rPr>
          <w:rStyle w:val="FootnoteReference"/>
        </w:rPr>
        <w:footnoteRef/>
      </w:r>
      <w:r>
        <w:t xml:space="preserve"> </w:t>
      </w:r>
      <w:r w:rsidRPr="00F21FF2">
        <w:rPr>
          <w:rFonts w:ascii="Times New Roman" w:hAnsi="Times New Roman" w:cs="Times New Roman"/>
          <w:lang w:val="hr-HR"/>
        </w:rPr>
        <w:t>‘National’ means in some countries the federal or regional government.</w:t>
      </w:r>
    </w:p>
  </w:footnote>
  <w:footnote w:id="9">
    <w:p w14:paraId="20EF0048" w14:textId="38282462" w:rsidR="00792E57" w:rsidRPr="0087633A" w:rsidRDefault="00792E57" w:rsidP="00792E57">
      <w:pPr>
        <w:pStyle w:val="FootnoteText"/>
        <w:rPr>
          <w:rFonts w:ascii="Times New Roman" w:hAnsi="Times New Roman" w:cs="Times New Roman"/>
          <w:lang w:val="hr-HR"/>
        </w:rPr>
      </w:pPr>
      <w:r w:rsidRPr="00D7152E">
        <w:rPr>
          <w:rStyle w:val="FootnoteReference"/>
          <w:rFonts w:ascii="Times New Roman" w:hAnsi="Times New Roman" w:cs="Times New Roman"/>
        </w:rPr>
        <w:footnoteRef/>
      </w:r>
      <w:r w:rsidRPr="00D7152E">
        <w:rPr>
          <w:rFonts w:ascii="Times New Roman" w:hAnsi="Times New Roman" w:cs="Times New Roman"/>
        </w:rPr>
        <w:t xml:space="preserve"> This glossary</w:t>
      </w:r>
      <w:r w:rsidR="00141EB6">
        <w:rPr>
          <w:rFonts w:ascii="Times New Roman" w:hAnsi="Times New Roman" w:cs="Times New Roman"/>
        </w:rPr>
        <w:t xml:space="preserve"> is also adopted as an integral part of the Principles and Guidelines at the 2020 Rome Ministerial Conference. </w:t>
      </w:r>
      <w:r w:rsidR="00EF104C">
        <w:rPr>
          <w:rFonts w:ascii="Times New Roman" w:hAnsi="Times New Roman" w:cs="Times New Roman"/>
        </w:rPr>
        <w:t>This glossary</w:t>
      </w:r>
      <w:r w:rsidRPr="00D7152E">
        <w:rPr>
          <w:rFonts w:ascii="Times New Roman" w:hAnsi="Times New Roman" w:cs="Times New Roman"/>
        </w:rPr>
        <w:t xml:space="preserve"> is intended only for the purpose of these Principles and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E0A2" w14:textId="77777777" w:rsidR="00152FC0" w:rsidRDefault="00000000">
    <w:pPr>
      <w:pBdr>
        <w:top w:val="nil"/>
        <w:left w:val="nil"/>
        <w:bottom w:val="nil"/>
        <w:right w:val="nil"/>
        <w:between w:val="nil"/>
      </w:pBdr>
      <w:tabs>
        <w:tab w:val="center" w:pos="4536"/>
        <w:tab w:val="right" w:pos="9072"/>
      </w:tabs>
      <w:rPr>
        <w:color w:val="000000"/>
      </w:rPr>
    </w:pPr>
    <w:r>
      <w:rPr>
        <w:color w:val="000000"/>
      </w:rPr>
      <w:pict w14:anchorId="5BCE1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2.4pt;height:247.45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623"/>
    <w:multiLevelType w:val="multilevel"/>
    <w:tmpl w:val="61848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84F9E"/>
    <w:multiLevelType w:val="hybridMultilevel"/>
    <w:tmpl w:val="47B8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C6BC9"/>
    <w:multiLevelType w:val="multilevel"/>
    <w:tmpl w:val="75B05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FF6F67"/>
    <w:multiLevelType w:val="multilevel"/>
    <w:tmpl w:val="0E3C7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E29CD"/>
    <w:multiLevelType w:val="multilevel"/>
    <w:tmpl w:val="E208E30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421556"/>
    <w:multiLevelType w:val="multilevel"/>
    <w:tmpl w:val="5D865B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7815634"/>
    <w:multiLevelType w:val="multilevel"/>
    <w:tmpl w:val="E208E30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5209DA"/>
    <w:multiLevelType w:val="multilevel"/>
    <w:tmpl w:val="24E60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5F424F"/>
    <w:multiLevelType w:val="multilevel"/>
    <w:tmpl w:val="E208E30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F3013"/>
    <w:multiLevelType w:val="hybridMultilevel"/>
    <w:tmpl w:val="09C64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EE4704"/>
    <w:multiLevelType w:val="multilevel"/>
    <w:tmpl w:val="E208E30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421686"/>
    <w:multiLevelType w:val="hybridMultilevel"/>
    <w:tmpl w:val="99C81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274035"/>
    <w:multiLevelType w:val="multilevel"/>
    <w:tmpl w:val="85DE277E"/>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7C43DE4"/>
    <w:multiLevelType w:val="multilevel"/>
    <w:tmpl w:val="2070A92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F46734"/>
    <w:multiLevelType w:val="multilevel"/>
    <w:tmpl w:val="0CEE4E3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41748C"/>
    <w:multiLevelType w:val="multilevel"/>
    <w:tmpl w:val="E208E30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A27508"/>
    <w:multiLevelType w:val="hybridMultilevel"/>
    <w:tmpl w:val="7988F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F1509B"/>
    <w:multiLevelType w:val="multilevel"/>
    <w:tmpl w:val="022A563C"/>
    <w:lvl w:ilvl="0">
      <w:start w:val="1"/>
      <w:numFmt w:val="low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5265B6"/>
    <w:multiLevelType w:val="multilevel"/>
    <w:tmpl w:val="E208E30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E76F11"/>
    <w:multiLevelType w:val="multilevel"/>
    <w:tmpl w:val="E208E30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9F1BD9"/>
    <w:multiLevelType w:val="multilevel"/>
    <w:tmpl w:val="2DC8C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A61F5C"/>
    <w:multiLevelType w:val="multilevel"/>
    <w:tmpl w:val="627E14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BFB2773"/>
    <w:multiLevelType w:val="multilevel"/>
    <w:tmpl w:val="3BA6C052"/>
    <w:lvl w:ilvl="0">
      <w:start w:val="7"/>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C117D49"/>
    <w:multiLevelType w:val="multilevel"/>
    <w:tmpl w:val="6ACC6ED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D26807"/>
    <w:multiLevelType w:val="multilevel"/>
    <w:tmpl w:val="469AF5A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47762E"/>
    <w:multiLevelType w:val="hybridMultilevel"/>
    <w:tmpl w:val="C6728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742AD"/>
    <w:multiLevelType w:val="multilevel"/>
    <w:tmpl w:val="50287D5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5F64A9"/>
    <w:multiLevelType w:val="multilevel"/>
    <w:tmpl w:val="50287D5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316416"/>
    <w:multiLevelType w:val="multilevel"/>
    <w:tmpl w:val="50287D5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D7088F"/>
    <w:multiLevelType w:val="multilevel"/>
    <w:tmpl w:val="0A9C8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3F6092"/>
    <w:multiLevelType w:val="multilevel"/>
    <w:tmpl w:val="32381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FD5E74"/>
    <w:multiLevelType w:val="multilevel"/>
    <w:tmpl w:val="C242E360"/>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686B1484"/>
    <w:multiLevelType w:val="multilevel"/>
    <w:tmpl w:val="60308D62"/>
    <w:lvl w:ilvl="0">
      <w:start w:val="4"/>
      <w:numFmt w:val="bullet"/>
      <w:lvlText w:val="i"/>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B1672B"/>
    <w:multiLevelType w:val="multilevel"/>
    <w:tmpl w:val="4D809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4B312D"/>
    <w:multiLevelType w:val="multilevel"/>
    <w:tmpl w:val="85DE277E"/>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D4E0C25"/>
    <w:multiLevelType w:val="multilevel"/>
    <w:tmpl w:val="160E7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2364A24"/>
    <w:multiLevelType w:val="hybridMultilevel"/>
    <w:tmpl w:val="CD5A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5B1167"/>
    <w:multiLevelType w:val="hybridMultilevel"/>
    <w:tmpl w:val="8A50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94D2D"/>
    <w:multiLevelType w:val="hybridMultilevel"/>
    <w:tmpl w:val="F7DAFB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C862B8"/>
    <w:multiLevelType w:val="multilevel"/>
    <w:tmpl w:val="E208E30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326015"/>
    <w:multiLevelType w:val="multilevel"/>
    <w:tmpl w:val="E208E30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A61BF7"/>
    <w:multiLevelType w:val="multilevel"/>
    <w:tmpl w:val="1E645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5700CF"/>
    <w:multiLevelType w:val="multilevel"/>
    <w:tmpl w:val="85DE277E"/>
    <w:lvl w:ilvl="0">
      <w:start w:val="1"/>
      <w:numFmt w:val="bullet"/>
      <w:lvlText w:val=""/>
      <w:lvlJc w:val="left"/>
      <w:pPr>
        <w:ind w:left="1080" w:hanging="360"/>
      </w:pPr>
      <w:rPr>
        <w:rFonts w:ascii="Symbol" w:hAnsi="Symbol"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39163493">
    <w:abstractNumId w:val="4"/>
  </w:num>
  <w:num w:numId="2" w16cid:durableId="899900401">
    <w:abstractNumId w:val="34"/>
  </w:num>
  <w:num w:numId="3" w16cid:durableId="1990212016">
    <w:abstractNumId w:val="15"/>
  </w:num>
  <w:num w:numId="4" w16cid:durableId="1282610459">
    <w:abstractNumId w:val="8"/>
  </w:num>
  <w:num w:numId="5" w16cid:durableId="222251553">
    <w:abstractNumId w:val="19"/>
  </w:num>
  <w:num w:numId="6" w16cid:durableId="352995333">
    <w:abstractNumId w:val="42"/>
  </w:num>
  <w:num w:numId="7" w16cid:durableId="285165778">
    <w:abstractNumId w:val="22"/>
  </w:num>
  <w:num w:numId="8" w16cid:durableId="250432630">
    <w:abstractNumId w:val="5"/>
  </w:num>
  <w:num w:numId="9" w16cid:durableId="1425684982">
    <w:abstractNumId w:val="27"/>
  </w:num>
  <w:num w:numId="10" w16cid:durableId="999964400">
    <w:abstractNumId w:val="28"/>
  </w:num>
  <w:num w:numId="11" w16cid:durableId="246965646">
    <w:abstractNumId w:val="31"/>
  </w:num>
  <w:num w:numId="12" w16cid:durableId="1922055245">
    <w:abstractNumId w:val="21"/>
  </w:num>
  <w:num w:numId="13" w16cid:durableId="1655450445">
    <w:abstractNumId w:val="12"/>
  </w:num>
  <w:num w:numId="14" w16cid:durableId="333840399">
    <w:abstractNumId w:val="32"/>
  </w:num>
  <w:num w:numId="15" w16cid:durableId="360396576">
    <w:abstractNumId w:val="24"/>
  </w:num>
  <w:num w:numId="16" w16cid:durableId="1415084962">
    <w:abstractNumId w:val="40"/>
  </w:num>
  <w:num w:numId="17" w16cid:durableId="588929570">
    <w:abstractNumId w:val="26"/>
  </w:num>
  <w:num w:numId="18" w16cid:durableId="1549367770">
    <w:abstractNumId w:val="23"/>
  </w:num>
  <w:num w:numId="19" w16cid:durableId="1229614867">
    <w:abstractNumId w:val="0"/>
  </w:num>
  <w:num w:numId="20" w16cid:durableId="41558312">
    <w:abstractNumId w:val="6"/>
  </w:num>
  <w:num w:numId="21" w16cid:durableId="1595481371">
    <w:abstractNumId w:val="14"/>
  </w:num>
  <w:num w:numId="22" w16cid:durableId="1602181217">
    <w:abstractNumId w:val="2"/>
  </w:num>
  <w:num w:numId="23" w16cid:durableId="1191845694">
    <w:abstractNumId w:val="41"/>
  </w:num>
  <w:num w:numId="24" w16cid:durableId="1311639014">
    <w:abstractNumId w:val="30"/>
  </w:num>
  <w:num w:numId="25" w16cid:durableId="1857842966">
    <w:abstractNumId w:val="35"/>
  </w:num>
  <w:num w:numId="26" w16cid:durableId="364451920">
    <w:abstractNumId w:val="20"/>
  </w:num>
  <w:num w:numId="27" w16cid:durableId="2044746537">
    <w:abstractNumId w:val="29"/>
  </w:num>
  <w:num w:numId="28" w16cid:durableId="84887303">
    <w:abstractNumId w:val="16"/>
  </w:num>
  <w:num w:numId="29" w16cid:durableId="356542148">
    <w:abstractNumId w:val="18"/>
  </w:num>
  <w:num w:numId="30" w16cid:durableId="533813507">
    <w:abstractNumId w:val="10"/>
  </w:num>
  <w:num w:numId="31" w16cid:durableId="848831986">
    <w:abstractNumId w:val="39"/>
  </w:num>
  <w:num w:numId="32" w16cid:durableId="280114192">
    <w:abstractNumId w:val="17"/>
  </w:num>
  <w:num w:numId="33" w16cid:durableId="39592652">
    <w:abstractNumId w:val="13"/>
  </w:num>
  <w:num w:numId="34" w16cid:durableId="717121465">
    <w:abstractNumId w:val="3"/>
  </w:num>
  <w:num w:numId="35" w16cid:durableId="1748111404">
    <w:abstractNumId w:val="7"/>
  </w:num>
  <w:num w:numId="36" w16cid:durableId="175965547">
    <w:abstractNumId w:val="33"/>
  </w:num>
  <w:num w:numId="37" w16cid:durableId="1831797608">
    <w:abstractNumId w:val="25"/>
  </w:num>
  <w:num w:numId="38" w16cid:durableId="394399153">
    <w:abstractNumId w:val="37"/>
  </w:num>
  <w:num w:numId="39" w16cid:durableId="1829322202">
    <w:abstractNumId w:val="1"/>
  </w:num>
  <w:num w:numId="40" w16cid:durableId="288439734">
    <w:abstractNumId w:val="11"/>
  </w:num>
  <w:num w:numId="41" w16cid:durableId="1690371348">
    <w:abstractNumId w:val="36"/>
  </w:num>
  <w:num w:numId="42" w16cid:durableId="888344220">
    <w:abstractNumId w:val="9"/>
  </w:num>
  <w:num w:numId="43" w16cid:durableId="2054185412">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0"/>
    <w:rsid w:val="00005623"/>
    <w:rsid w:val="00017E32"/>
    <w:rsid w:val="00031BDD"/>
    <w:rsid w:val="000476A4"/>
    <w:rsid w:val="00050638"/>
    <w:rsid w:val="00053C39"/>
    <w:rsid w:val="000549DF"/>
    <w:rsid w:val="000628EB"/>
    <w:rsid w:val="000704BC"/>
    <w:rsid w:val="0007345F"/>
    <w:rsid w:val="000A0548"/>
    <w:rsid w:val="000B44BA"/>
    <w:rsid w:val="000C15E0"/>
    <w:rsid w:val="000C2DF9"/>
    <w:rsid w:val="000C4211"/>
    <w:rsid w:val="000D1BE8"/>
    <w:rsid w:val="000E2FFD"/>
    <w:rsid w:val="000E3EA4"/>
    <w:rsid w:val="000E7691"/>
    <w:rsid w:val="000F349B"/>
    <w:rsid w:val="00102229"/>
    <w:rsid w:val="00114B6D"/>
    <w:rsid w:val="00122201"/>
    <w:rsid w:val="00127C33"/>
    <w:rsid w:val="00136B28"/>
    <w:rsid w:val="00137BD6"/>
    <w:rsid w:val="001417A7"/>
    <w:rsid w:val="00141EB6"/>
    <w:rsid w:val="00142C31"/>
    <w:rsid w:val="0014746C"/>
    <w:rsid w:val="00152EBE"/>
    <w:rsid w:val="00152FC0"/>
    <w:rsid w:val="00154440"/>
    <w:rsid w:val="00156BFE"/>
    <w:rsid w:val="00162133"/>
    <w:rsid w:val="00164A13"/>
    <w:rsid w:val="001679AF"/>
    <w:rsid w:val="00170CCE"/>
    <w:rsid w:val="001831CB"/>
    <w:rsid w:val="00187DF3"/>
    <w:rsid w:val="001A52B6"/>
    <w:rsid w:val="001B12D8"/>
    <w:rsid w:val="001B5879"/>
    <w:rsid w:val="001C1E79"/>
    <w:rsid w:val="001C2A99"/>
    <w:rsid w:val="001C2C68"/>
    <w:rsid w:val="001F3737"/>
    <w:rsid w:val="001F5ACF"/>
    <w:rsid w:val="001F5CCC"/>
    <w:rsid w:val="00205745"/>
    <w:rsid w:val="002222CB"/>
    <w:rsid w:val="00225057"/>
    <w:rsid w:val="002442B5"/>
    <w:rsid w:val="00246F40"/>
    <w:rsid w:val="00250B12"/>
    <w:rsid w:val="002537D1"/>
    <w:rsid w:val="00284BAB"/>
    <w:rsid w:val="00284C37"/>
    <w:rsid w:val="002A3F5C"/>
    <w:rsid w:val="002A6C25"/>
    <w:rsid w:val="002B748D"/>
    <w:rsid w:val="002C3131"/>
    <w:rsid w:val="002F3219"/>
    <w:rsid w:val="003135EC"/>
    <w:rsid w:val="003207E5"/>
    <w:rsid w:val="00322BA9"/>
    <w:rsid w:val="003270C1"/>
    <w:rsid w:val="0033084C"/>
    <w:rsid w:val="00335541"/>
    <w:rsid w:val="00357D39"/>
    <w:rsid w:val="003732EC"/>
    <w:rsid w:val="00380A73"/>
    <w:rsid w:val="003842CB"/>
    <w:rsid w:val="0038783E"/>
    <w:rsid w:val="003A1E48"/>
    <w:rsid w:val="003A2794"/>
    <w:rsid w:val="003A32D9"/>
    <w:rsid w:val="003B2355"/>
    <w:rsid w:val="003B6C50"/>
    <w:rsid w:val="003B7AD3"/>
    <w:rsid w:val="003D0C4A"/>
    <w:rsid w:val="003D3943"/>
    <w:rsid w:val="003D6FA9"/>
    <w:rsid w:val="003F2906"/>
    <w:rsid w:val="003F3941"/>
    <w:rsid w:val="003F6251"/>
    <w:rsid w:val="00404189"/>
    <w:rsid w:val="004112A4"/>
    <w:rsid w:val="00416407"/>
    <w:rsid w:val="00417683"/>
    <w:rsid w:val="00417DBE"/>
    <w:rsid w:val="00437865"/>
    <w:rsid w:val="0045423B"/>
    <w:rsid w:val="004577B0"/>
    <w:rsid w:val="00470E47"/>
    <w:rsid w:val="00482830"/>
    <w:rsid w:val="0048694A"/>
    <w:rsid w:val="00491B4A"/>
    <w:rsid w:val="004922F2"/>
    <w:rsid w:val="004928D1"/>
    <w:rsid w:val="004962E5"/>
    <w:rsid w:val="004A7263"/>
    <w:rsid w:val="004C58F5"/>
    <w:rsid w:val="004D01FB"/>
    <w:rsid w:val="004D6717"/>
    <w:rsid w:val="004E69B5"/>
    <w:rsid w:val="004F3FF6"/>
    <w:rsid w:val="00502D27"/>
    <w:rsid w:val="00503EF6"/>
    <w:rsid w:val="0050428D"/>
    <w:rsid w:val="00506054"/>
    <w:rsid w:val="00515591"/>
    <w:rsid w:val="00523424"/>
    <w:rsid w:val="005235CB"/>
    <w:rsid w:val="005271F1"/>
    <w:rsid w:val="005372F6"/>
    <w:rsid w:val="00543D58"/>
    <w:rsid w:val="00543EB6"/>
    <w:rsid w:val="00557387"/>
    <w:rsid w:val="0056157F"/>
    <w:rsid w:val="005720FF"/>
    <w:rsid w:val="00576DE1"/>
    <w:rsid w:val="00594357"/>
    <w:rsid w:val="00594E8B"/>
    <w:rsid w:val="005A1E29"/>
    <w:rsid w:val="005A5966"/>
    <w:rsid w:val="005B002D"/>
    <w:rsid w:val="005E1CB6"/>
    <w:rsid w:val="005E271C"/>
    <w:rsid w:val="005F5975"/>
    <w:rsid w:val="00604BF6"/>
    <w:rsid w:val="006052E0"/>
    <w:rsid w:val="00611A54"/>
    <w:rsid w:val="0062520F"/>
    <w:rsid w:val="00625D11"/>
    <w:rsid w:val="00641014"/>
    <w:rsid w:val="00642B15"/>
    <w:rsid w:val="006526AF"/>
    <w:rsid w:val="006631FB"/>
    <w:rsid w:val="006872B9"/>
    <w:rsid w:val="006A26FB"/>
    <w:rsid w:val="006A6D8F"/>
    <w:rsid w:val="006B70A5"/>
    <w:rsid w:val="006C3688"/>
    <w:rsid w:val="006C5481"/>
    <w:rsid w:val="006E183A"/>
    <w:rsid w:val="006E3450"/>
    <w:rsid w:val="006E37C8"/>
    <w:rsid w:val="006E465D"/>
    <w:rsid w:val="006E7951"/>
    <w:rsid w:val="006F6176"/>
    <w:rsid w:val="00705C49"/>
    <w:rsid w:val="00707009"/>
    <w:rsid w:val="00707743"/>
    <w:rsid w:val="00710401"/>
    <w:rsid w:val="00732684"/>
    <w:rsid w:val="00732998"/>
    <w:rsid w:val="00733163"/>
    <w:rsid w:val="007350F3"/>
    <w:rsid w:val="007503B8"/>
    <w:rsid w:val="007503C7"/>
    <w:rsid w:val="007619D0"/>
    <w:rsid w:val="00766D70"/>
    <w:rsid w:val="007868F1"/>
    <w:rsid w:val="00792E57"/>
    <w:rsid w:val="007A764A"/>
    <w:rsid w:val="007B6715"/>
    <w:rsid w:val="007C1FBA"/>
    <w:rsid w:val="007C6BB5"/>
    <w:rsid w:val="007D09EC"/>
    <w:rsid w:val="007E22EF"/>
    <w:rsid w:val="007F163B"/>
    <w:rsid w:val="007F169F"/>
    <w:rsid w:val="007F6CEE"/>
    <w:rsid w:val="0080179B"/>
    <w:rsid w:val="00803B63"/>
    <w:rsid w:val="008102A5"/>
    <w:rsid w:val="00820DC1"/>
    <w:rsid w:val="008267AA"/>
    <w:rsid w:val="008312F8"/>
    <w:rsid w:val="008363C4"/>
    <w:rsid w:val="00842569"/>
    <w:rsid w:val="00847AAC"/>
    <w:rsid w:val="00852CB7"/>
    <w:rsid w:val="0085435C"/>
    <w:rsid w:val="00864603"/>
    <w:rsid w:val="00870C6B"/>
    <w:rsid w:val="00872B0D"/>
    <w:rsid w:val="008A59C9"/>
    <w:rsid w:val="008B0B66"/>
    <w:rsid w:val="008C0E39"/>
    <w:rsid w:val="008C708F"/>
    <w:rsid w:val="008F21C5"/>
    <w:rsid w:val="008F2C86"/>
    <w:rsid w:val="00907551"/>
    <w:rsid w:val="00907BB4"/>
    <w:rsid w:val="00914068"/>
    <w:rsid w:val="00915949"/>
    <w:rsid w:val="00920563"/>
    <w:rsid w:val="009228D2"/>
    <w:rsid w:val="00927DE0"/>
    <w:rsid w:val="00930C2E"/>
    <w:rsid w:val="0093199E"/>
    <w:rsid w:val="00940637"/>
    <w:rsid w:val="00940687"/>
    <w:rsid w:val="0095250A"/>
    <w:rsid w:val="0095650C"/>
    <w:rsid w:val="00961597"/>
    <w:rsid w:val="00963A0B"/>
    <w:rsid w:val="0097046E"/>
    <w:rsid w:val="009830A6"/>
    <w:rsid w:val="009B3206"/>
    <w:rsid w:val="009B3AF5"/>
    <w:rsid w:val="009B5CB6"/>
    <w:rsid w:val="009C2B8C"/>
    <w:rsid w:val="009C3AB6"/>
    <w:rsid w:val="009C70D4"/>
    <w:rsid w:val="009C7408"/>
    <w:rsid w:val="009C7448"/>
    <w:rsid w:val="009E0595"/>
    <w:rsid w:val="00A10C5A"/>
    <w:rsid w:val="00A1575B"/>
    <w:rsid w:val="00A20FE3"/>
    <w:rsid w:val="00A47E07"/>
    <w:rsid w:val="00A64D4E"/>
    <w:rsid w:val="00A7338A"/>
    <w:rsid w:val="00A73714"/>
    <w:rsid w:val="00A7575E"/>
    <w:rsid w:val="00A85832"/>
    <w:rsid w:val="00AA0D50"/>
    <w:rsid w:val="00AA2E61"/>
    <w:rsid w:val="00AA41E5"/>
    <w:rsid w:val="00AC021D"/>
    <w:rsid w:val="00AD2701"/>
    <w:rsid w:val="00AD2FB8"/>
    <w:rsid w:val="00AD554D"/>
    <w:rsid w:val="00AE0AB1"/>
    <w:rsid w:val="00AE40BE"/>
    <w:rsid w:val="00AE74DE"/>
    <w:rsid w:val="00AE77B8"/>
    <w:rsid w:val="00AE7E2F"/>
    <w:rsid w:val="00AF2C2C"/>
    <w:rsid w:val="00AF6CDC"/>
    <w:rsid w:val="00B06E31"/>
    <w:rsid w:val="00B16C68"/>
    <w:rsid w:val="00B25099"/>
    <w:rsid w:val="00B41893"/>
    <w:rsid w:val="00B42070"/>
    <w:rsid w:val="00B5430E"/>
    <w:rsid w:val="00B66DD0"/>
    <w:rsid w:val="00B70022"/>
    <w:rsid w:val="00B92D13"/>
    <w:rsid w:val="00B93042"/>
    <w:rsid w:val="00B96204"/>
    <w:rsid w:val="00BA1D35"/>
    <w:rsid w:val="00BB2816"/>
    <w:rsid w:val="00BB48E0"/>
    <w:rsid w:val="00BB5978"/>
    <w:rsid w:val="00BB6849"/>
    <w:rsid w:val="00BC12CA"/>
    <w:rsid w:val="00BC2ED2"/>
    <w:rsid w:val="00BC4A2F"/>
    <w:rsid w:val="00BC510D"/>
    <w:rsid w:val="00BD0E29"/>
    <w:rsid w:val="00BD1AA0"/>
    <w:rsid w:val="00BE782F"/>
    <w:rsid w:val="00BF4270"/>
    <w:rsid w:val="00BF7D28"/>
    <w:rsid w:val="00C07C57"/>
    <w:rsid w:val="00C13CD9"/>
    <w:rsid w:val="00C1472A"/>
    <w:rsid w:val="00C16432"/>
    <w:rsid w:val="00C17CB3"/>
    <w:rsid w:val="00C344DB"/>
    <w:rsid w:val="00C35D9A"/>
    <w:rsid w:val="00C37898"/>
    <w:rsid w:val="00C502BD"/>
    <w:rsid w:val="00C52E1C"/>
    <w:rsid w:val="00C603FC"/>
    <w:rsid w:val="00C61952"/>
    <w:rsid w:val="00C71538"/>
    <w:rsid w:val="00C73ECC"/>
    <w:rsid w:val="00C7505B"/>
    <w:rsid w:val="00C7529D"/>
    <w:rsid w:val="00C810E6"/>
    <w:rsid w:val="00C81804"/>
    <w:rsid w:val="00C82A47"/>
    <w:rsid w:val="00C8573B"/>
    <w:rsid w:val="00C935B1"/>
    <w:rsid w:val="00C94FEE"/>
    <w:rsid w:val="00C97C3B"/>
    <w:rsid w:val="00CA0E6A"/>
    <w:rsid w:val="00CA1658"/>
    <w:rsid w:val="00CA2FAA"/>
    <w:rsid w:val="00CA6DE3"/>
    <w:rsid w:val="00CA7A25"/>
    <w:rsid w:val="00CB5FF3"/>
    <w:rsid w:val="00CC24EB"/>
    <w:rsid w:val="00CD3900"/>
    <w:rsid w:val="00CD691C"/>
    <w:rsid w:val="00CF2B28"/>
    <w:rsid w:val="00CF5F76"/>
    <w:rsid w:val="00CF68FA"/>
    <w:rsid w:val="00D00FC0"/>
    <w:rsid w:val="00D034BE"/>
    <w:rsid w:val="00D05C66"/>
    <w:rsid w:val="00D0751E"/>
    <w:rsid w:val="00D1003C"/>
    <w:rsid w:val="00D10CCE"/>
    <w:rsid w:val="00D2206A"/>
    <w:rsid w:val="00D228B1"/>
    <w:rsid w:val="00D279BE"/>
    <w:rsid w:val="00D36C1C"/>
    <w:rsid w:val="00D43F1C"/>
    <w:rsid w:val="00D47779"/>
    <w:rsid w:val="00D57C26"/>
    <w:rsid w:val="00D6013A"/>
    <w:rsid w:val="00D72D1C"/>
    <w:rsid w:val="00D746BB"/>
    <w:rsid w:val="00DA0913"/>
    <w:rsid w:val="00DA3864"/>
    <w:rsid w:val="00DA3B35"/>
    <w:rsid w:val="00DA78BB"/>
    <w:rsid w:val="00DB7C13"/>
    <w:rsid w:val="00DD4DC5"/>
    <w:rsid w:val="00DE15CB"/>
    <w:rsid w:val="00DE4F79"/>
    <w:rsid w:val="00DF19F4"/>
    <w:rsid w:val="00DF6B50"/>
    <w:rsid w:val="00E02094"/>
    <w:rsid w:val="00E04DD9"/>
    <w:rsid w:val="00E16F8D"/>
    <w:rsid w:val="00E22607"/>
    <w:rsid w:val="00E26169"/>
    <w:rsid w:val="00E42D8E"/>
    <w:rsid w:val="00E505E4"/>
    <w:rsid w:val="00E52CC7"/>
    <w:rsid w:val="00E65BA1"/>
    <w:rsid w:val="00E67140"/>
    <w:rsid w:val="00E80B94"/>
    <w:rsid w:val="00E80CD4"/>
    <w:rsid w:val="00E8220A"/>
    <w:rsid w:val="00E85D2C"/>
    <w:rsid w:val="00E86E3C"/>
    <w:rsid w:val="00E92BFF"/>
    <w:rsid w:val="00E94999"/>
    <w:rsid w:val="00EC7685"/>
    <w:rsid w:val="00EE1BE1"/>
    <w:rsid w:val="00EE79C8"/>
    <w:rsid w:val="00EF0134"/>
    <w:rsid w:val="00EF104C"/>
    <w:rsid w:val="00EF368D"/>
    <w:rsid w:val="00F05516"/>
    <w:rsid w:val="00F07187"/>
    <w:rsid w:val="00F165F7"/>
    <w:rsid w:val="00F21FF2"/>
    <w:rsid w:val="00F229E7"/>
    <w:rsid w:val="00F22C12"/>
    <w:rsid w:val="00F356FD"/>
    <w:rsid w:val="00F3687F"/>
    <w:rsid w:val="00F46403"/>
    <w:rsid w:val="00F637D0"/>
    <w:rsid w:val="00F80E92"/>
    <w:rsid w:val="00F814EC"/>
    <w:rsid w:val="00F840F2"/>
    <w:rsid w:val="00F9130F"/>
    <w:rsid w:val="00FA0513"/>
    <w:rsid w:val="00FA4B50"/>
    <w:rsid w:val="00FA69C8"/>
    <w:rsid w:val="00FA6C26"/>
    <w:rsid w:val="00FB4FB3"/>
    <w:rsid w:val="00FB5499"/>
    <w:rsid w:val="00FB5C59"/>
    <w:rsid w:val="00FE690E"/>
    <w:rsid w:val="00FF2E88"/>
    <w:rsid w:val="00FF6F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42FFB6"/>
  <w15:docId w15:val="{3E02E60D-DEF6-48C0-B70D-43EA667C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5178E"/>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8E"/>
    <w:pPr>
      <w:ind w:left="720"/>
      <w:contextualSpacing/>
    </w:pPr>
    <w:rPr>
      <w:rFonts w:ascii="Calibri" w:eastAsia="Calibri" w:hAnsi="Calibri" w:cs="Calibri"/>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4"/>
      <w:szCs w:val="24"/>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4"/>
      <w:szCs w:val="24"/>
    </w:r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4"/>
      <w:szCs w:val="24"/>
    </w:rPr>
    <w:tblPr>
      <w:tblStyleRowBandSize w:val="1"/>
      <w:tblStyleColBandSize w:val="1"/>
    </w:tblPr>
  </w:style>
  <w:style w:type="character" w:styleId="CommentReference">
    <w:name w:val="annotation reference"/>
    <w:basedOn w:val="DefaultParagraphFont"/>
    <w:uiPriority w:val="99"/>
    <w:semiHidden/>
    <w:unhideWhenUsed/>
    <w:rsid w:val="00D72D1C"/>
    <w:rPr>
      <w:sz w:val="16"/>
      <w:szCs w:val="16"/>
    </w:rPr>
  </w:style>
  <w:style w:type="paragraph" w:styleId="CommentText">
    <w:name w:val="annotation text"/>
    <w:basedOn w:val="Normal"/>
    <w:link w:val="CommentTextChar"/>
    <w:uiPriority w:val="99"/>
    <w:unhideWhenUsed/>
    <w:rsid w:val="00D72D1C"/>
    <w:rPr>
      <w:sz w:val="20"/>
      <w:szCs w:val="20"/>
    </w:rPr>
  </w:style>
  <w:style w:type="character" w:customStyle="1" w:styleId="CommentTextChar">
    <w:name w:val="Comment Text Char"/>
    <w:basedOn w:val="DefaultParagraphFont"/>
    <w:link w:val="CommentText"/>
    <w:uiPriority w:val="99"/>
    <w:rsid w:val="00D72D1C"/>
    <w:rPr>
      <w:sz w:val="20"/>
      <w:szCs w:val="20"/>
      <w:lang w:val="en-US"/>
    </w:rPr>
  </w:style>
  <w:style w:type="paragraph" w:styleId="CommentSubject">
    <w:name w:val="annotation subject"/>
    <w:basedOn w:val="CommentText"/>
    <w:next w:val="CommentText"/>
    <w:link w:val="CommentSubjectChar"/>
    <w:uiPriority w:val="99"/>
    <w:semiHidden/>
    <w:unhideWhenUsed/>
    <w:rsid w:val="00D72D1C"/>
    <w:rPr>
      <w:b/>
      <w:bCs/>
    </w:rPr>
  </w:style>
  <w:style w:type="character" w:customStyle="1" w:styleId="CommentSubjectChar">
    <w:name w:val="Comment Subject Char"/>
    <w:basedOn w:val="CommentTextChar"/>
    <w:link w:val="CommentSubject"/>
    <w:uiPriority w:val="99"/>
    <w:semiHidden/>
    <w:rsid w:val="00D72D1C"/>
    <w:rPr>
      <w:b/>
      <w:bCs/>
      <w:sz w:val="20"/>
      <w:szCs w:val="20"/>
      <w:lang w:val="en-US"/>
    </w:rPr>
  </w:style>
  <w:style w:type="paragraph" w:styleId="BalloonText">
    <w:name w:val="Balloon Text"/>
    <w:basedOn w:val="Normal"/>
    <w:link w:val="BalloonTextChar"/>
    <w:uiPriority w:val="99"/>
    <w:semiHidden/>
    <w:unhideWhenUsed/>
    <w:rsid w:val="00D72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D1C"/>
    <w:rPr>
      <w:rFonts w:ascii="Segoe UI" w:hAnsi="Segoe UI" w:cs="Segoe UI"/>
      <w:sz w:val="18"/>
      <w:szCs w:val="18"/>
      <w:lang w:val="en-US"/>
    </w:rPr>
  </w:style>
  <w:style w:type="paragraph" w:styleId="Revision">
    <w:name w:val="Revision"/>
    <w:hidden/>
    <w:uiPriority w:val="99"/>
    <w:semiHidden/>
    <w:rsid w:val="00AA2E61"/>
    <w:rPr>
      <w:lang w:val="en-US"/>
    </w:rPr>
  </w:style>
  <w:style w:type="paragraph" w:styleId="FootnoteText">
    <w:name w:val="footnote text"/>
    <w:basedOn w:val="Normal"/>
    <w:link w:val="FootnoteTextChar"/>
    <w:uiPriority w:val="99"/>
    <w:semiHidden/>
    <w:unhideWhenUsed/>
    <w:rsid w:val="0007345F"/>
    <w:rPr>
      <w:sz w:val="20"/>
      <w:szCs w:val="20"/>
    </w:rPr>
  </w:style>
  <w:style w:type="character" w:customStyle="1" w:styleId="FootnoteTextChar">
    <w:name w:val="Footnote Text Char"/>
    <w:basedOn w:val="DefaultParagraphFont"/>
    <w:link w:val="FootnoteText"/>
    <w:uiPriority w:val="99"/>
    <w:semiHidden/>
    <w:rsid w:val="0007345F"/>
    <w:rPr>
      <w:sz w:val="20"/>
      <w:szCs w:val="20"/>
      <w:lang w:val="en-US"/>
    </w:rPr>
  </w:style>
  <w:style w:type="character" w:styleId="FootnoteReference">
    <w:name w:val="footnote reference"/>
    <w:basedOn w:val="DefaultParagraphFont"/>
    <w:uiPriority w:val="99"/>
    <w:semiHidden/>
    <w:unhideWhenUsed/>
    <w:rsid w:val="0007345F"/>
    <w:rPr>
      <w:vertAlign w:val="superscript"/>
    </w:rPr>
  </w:style>
  <w:style w:type="paragraph" w:customStyle="1" w:styleId="pf0">
    <w:name w:val="pf0"/>
    <w:basedOn w:val="Normal"/>
    <w:rsid w:val="009830A6"/>
    <w:pPr>
      <w:spacing w:before="100" w:beforeAutospacing="1" w:after="100" w:afterAutospacing="1"/>
    </w:pPr>
    <w:rPr>
      <w:rFonts w:ascii="Times New Roman" w:eastAsia="Times New Roman" w:hAnsi="Times New Roman" w:cs="Times New Roman"/>
      <w:sz w:val="24"/>
      <w:szCs w:val="24"/>
      <w:lang w:val="hr-HR"/>
    </w:rPr>
  </w:style>
  <w:style w:type="character" w:customStyle="1" w:styleId="cf01">
    <w:name w:val="cf01"/>
    <w:basedOn w:val="DefaultParagraphFont"/>
    <w:rsid w:val="009830A6"/>
    <w:rPr>
      <w:rFonts w:ascii="Segoe UI" w:hAnsi="Segoe UI" w:cs="Segoe UI" w:hint="default"/>
      <w:sz w:val="18"/>
      <w:szCs w:val="18"/>
    </w:rPr>
  </w:style>
  <w:style w:type="character" w:customStyle="1" w:styleId="normaltextrun">
    <w:name w:val="normaltextrun"/>
    <w:basedOn w:val="DefaultParagraphFont"/>
    <w:rsid w:val="00D6013A"/>
  </w:style>
  <w:style w:type="character" w:styleId="Hyperlink">
    <w:name w:val="Hyperlink"/>
    <w:uiPriority w:val="99"/>
    <w:unhideWhenUsed/>
    <w:rsid w:val="007D09EC"/>
    <w:rPr>
      <w:rFonts w:ascii="Verdana" w:hAnsi="Verdana" w:hint="default"/>
      <w:strike w:val="0"/>
      <w:dstrike w:val="0"/>
      <w:color w:val="1A3F7C"/>
      <w:sz w:val="20"/>
      <w:u w:val="none"/>
      <w:effect w:val="none"/>
    </w:rPr>
  </w:style>
  <w:style w:type="character" w:styleId="UnresolvedMention">
    <w:name w:val="Unresolved Mention"/>
    <w:basedOn w:val="DefaultParagraphFont"/>
    <w:uiPriority w:val="99"/>
    <w:semiHidden/>
    <w:unhideWhenUsed/>
    <w:rsid w:val="007D09EC"/>
    <w:rPr>
      <w:color w:val="605E5C"/>
      <w:shd w:val="clear" w:color="auto" w:fill="E1DFDD"/>
    </w:rPr>
  </w:style>
  <w:style w:type="paragraph" w:styleId="Quote">
    <w:name w:val="Quote"/>
    <w:basedOn w:val="Normal"/>
    <w:next w:val="Normal"/>
    <w:link w:val="QuoteChar"/>
    <w:autoRedefine/>
    <w:uiPriority w:val="29"/>
    <w:qFormat/>
    <w:rsid w:val="00F21FF2"/>
    <w:rPr>
      <w:rFonts w:ascii="Times New Roman" w:hAnsi="Times New Roman"/>
      <w:iCs/>
      <w:color w:val="404040" w:themeColor="text1" w:themeTint="BF"/>
      <w:sz w:val="20"/>
    </w:rPr>
  </w:style>
  <w:style w:type="character" w:customStyle="1" w:styleId="QuoteChar">
    <w:name w:val="Quote Char"/>
    <w:basedOn w:val="DefaultParagraphFont"/>
    <w:link w:val="Quote"/>
    <w:uiPriority w:val="29"/>
    <w:rsid w:val="00F21FF2"/>
    <w:rPr>
      <w:rFonts w:ascii="Times New Roman" w:hAnsi="Times New Roman"/>
      <w:iCs/>
      <w:color w:val="404040" w:themeColor="text1" w:themeTint="BF"/>
      <w:sz w:val="20"/>
      <w:lang w:val="en-US"/>
    </w:rPr>
  </w:style>
  <w:style w:type="character" w:styleId="FollowedHyperlink">
    <w:name w:val="FollowedHyperlink"/>
    <w:basedOn w:val="DefaultParagraphFont"/>
    <w:uiPriority w:val="99"/>
    <w:semiHidden/>
    <w:unhideWhenUsed/>
    <w:rsid w:val="00792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99992">
      <w:bodyDiv w:val="1"/>
      <w:marLeft w:val="0"/>
      <w:marRight w:val="0"/>
      <w:marTop w:val="0"/>
      <w:marBottom w:val="0"/>
      <w:divBdr>
        <w:top w:val="none" w:sz="0" w:space="0" w:color="auto"/>
        <w:left w:val="none" w:sz="0" w:space="0" w:color="auto"/>
        <w:bottom w:val="none" w:sz="0" w:space="0" w:color="auto"/>
        <w:right w:val="none" w:sz="0" w:space="0" w:color="auto"/>
      </w:divBdr>
    </w:div>
    <w:div w:id="119485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multirank.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asimap.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fce.eu/toolbo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clusivemobility.eu/" TargetMode="External"/><Relationship Id="rId4" Type="http://schemas.openxmlformats.org/officeDocument/2006/relationships/styles" Target="styles.xml"/><Relationship Id="rId9" Type="http://schemas.openxmlformats.org/officeDocument/2006/relationships/hyperlink" Target="http://www.ehea.info/media.ehea.info/file/2015_Yerevan/71/5/Widening_Participation_for_Equity_and_Growth_A_Strategy_for_the_Development_of_the_SD_and_LLL_in_the_EHEA_to_2020_613715.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hea.info/media.ehea.info/file/2015_Yerevan/71/5/Widening_Participation_for_Equity_and_Growth_A_Strategy_for_the_Development_of_the_SD_and_LLL_in_the_EHEA_to_2020_613715.pdf" TargetMode="External"/><Relationship Id="rId1" Type="http://schemas.openxmlformats.org/officeDocument/2006/relationships/hyperlink" Target="http://www.ehea.info/Upload/Rome_Ministerial_Communique_Annex_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5A75EkyeWpEqAOXIPH57eIRg==">AMUW2mWZuJpTtHnvaemcL09250cde13AKKjesdyxtPbWYqO8eZNU1YKElRgS8dHuTxjYV4zY50rihxCvh3EXZBGDrBJAmEmHWR1MAtiqE5aJguxc+9Lgkbw=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56361B-F3A3-4D5C-826A-180A54FF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16</Pages>
  <Words>7778</Words>
  <Characters>44335</Characters>
  <Application>Microsoft Office Word</Application>
  <DocSecurity>0</DocSecurity>
  <Lines>369</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Ninoslav Šćukanec Schmidt</dc:creator>
  <cp:lastModifiedBy>Ninoslav Šćukanec Schmidt</cp:lastModifiedBy>
  <cp:revision>72</cp:revision>
  <cp:lastPrinted>2022-09-21T17:29:00Z</cp:lastPrinted>
  <dcterms:created xsi:type="dcterms:W3CDTF">2022-10-15T08:37:00Z</dcterms:created>
  <dcterms:modified xsi:type="dcterms:W3CDTF">2022-10-30T20:01:00Z</dcterms:modified>
</cp:coreProperties>
</file>